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4D150" w14:textId="77777777" w:rsidR="00793085" w:rsidRPr="0064111A" w:rsidRDefault="00793085" w:rsidP="00793085">
      <w:pPr>
        <w:shd w:val="clear" w:color="auto" w:fill="FFFFFF"/>
        <w:spacing w:after="240" w:line="330" w:lineRule="atLeast"/>
        <w:jc w:val="center"/>
        <w:outlineLvl w:val="2"/>
        <w:rPr>
          <w:rFonts w:ascii="Arial" w:eastAsia="Times New Roman" w:hAnsi="Arial" w:cs="Arial"/>
          <w:b/>
          <w:bCs/>
          <w:sz w:val="32"/>
          <w:szCs w:val="32"/>
          <w:u w:val="single"/>
          <w:lang w:eastAsia="en-GB"/>
        </w:rPr>
      </w:pPr>
      <w:r w:rsidRPr="00793085">
        <w:rPr>
          <w:rFonts w:ascii="Arial" w:eastAsia="Times New Roman" w:hAnsi="Arial" w:cs="Arial"/>
          <w:b/>
          <w:bCs/>
          <w:sz w:val="32"/>
          <w:szCs w:val="32"/>
          <w:u w:val="single"/>
          <w:lang w:eastAsia="en-GB"/>
        </w:rPr>
        <w:t>S</w:t>
      </w:r>
      <w:r w:rsidRPr="0064111A">
        <w:rPr>
          <w:rFonts w:ascii="Arial" w:eastAsia="Times New Roman" w:hAnsi="Arial" w:cs="Arial"/>
          <w:b/>
          <w:bCs/>
          <w:sz w:val="32"/>
          <w:szCs w:val="32"/>
          <w:u w:val="single"/>
          <w:lang w:eastAsia="en-GB"/>
        </w:rPr>
        <w:t>ix potentially fa</w:t>
      </w:r>
      <w:r w:rsidRPr="00793085">
        <w:rPr>
          <w:rFonts w:ascii="Arial" w:eastAsia="Times New Roman" w:hAnsi="Arial" w:cs="Arial"/>
          <w:b/>
          <w:bCs/>
          <w:sz w:val="32"/>
          <w:szCs w:val="32"/>
          <w:u w:val="single"/>
          <w:lang w:eastAsia="en-GB"/>
        </w:rPr>
        <w:t>i</w:t>
      </w:r>
      <w:r w:rsidRPr="0064111A">
        <w:rPr>
          <w:rFonts w:ascii="Arial" w:eastAsia="Times New Roman" w:hAnsi="Arial" w:cs="Arial"/>
          <w:b/>
          <w:bCs/>
          <w:sz w:val="32"/>
          <w:szCs w:val="32"/>
          <w:u w:val="single"/>
          <w:lang w:eastAsia="en-GB"/>
        </w:rPr>
        <w:t>r reasons for dismissal</w:t>
      </w:r>
    </w:p>
    <w:p w14:paraId="397EE1CC" w14:textId="77777777" w:rsidR="00793085" w:rsidRPr="00793085" w:rsidRDefault="00793085" w:rsidP="00793085">
      <w:pPr>
        <w:shd w:val="clear" w:color="auto" w:fill="FFFFFF"/>
        <w:spacing w:after="0" w:line="360" w:lineRule="auto"/>
        <w:jc w:val="both"/>
        <w:rPr>
          <w:rFonts w:ascii="Arial" w:eastAsia="Times New Roman" w:hAnsi="Arial" w:cs="Arial"/>
          <w:b/>
          <w:sz w:val="28"/>
          <w:szCs w:val="28"/>
          <w:lang w:eastAsia="en-GB"/>
        </w:rPr>
      </w:pPr>
      <w:r w:rsidRPr="00793085">
        <w:rPr>
          <w:rFonts w:ascii="Arial" w:eastAsia="Times New Roman" w:hAnsi="Arial" w:cs="Arial"/>
          <w:b/>
          <w:sz w:val="28"/>
          <w:szCs w:val="28"/>
          <w:lang w:eastAsia="en-GB"/>
        </w:rPr>
        <w:t>Reasons:</w:t>
      </w:r>
    </w:p>
    <w:p w14:paraId="53A932FD" w14:textId="77777777" w:rsidR="00793085" w:rsidRPr="00793085" w:rsidRDefault="00793085" w:rsidP="00793085">
      <w:pPr>
        <w:shd w:val="clear" w:color="auto" w:fill="FFFFFF"/>
        <w:spacing w:after="0" w:line="360" w:lineRule="auto"/>
        <w:jc w:val="both"/>
        <w:rPr>
          <w:rFonts w:ascii="Arial" w:eastAsia="Times New Roman" w:hAnsi="Arial" w:cs="Arial"/>
          <w:lang w:eastAsia="en-GB"/>
        </w:rPr>
      </w:pPr>
    </w:p>
    <w:p w14:paraId="1D15F29F" w14:textId="77777777" w:rsidR="00793085" w:rsidRPr="00793085" w:rsidRDefault="00793085" w:rsidP="00793085">
      <w:pPr>
        <w:numPr>
          <w:ilvl w:val="0"/>
          <w:numId w:val="3"/>
        </w:numPr>
        <w:shd w:val="clear" w:color="auto" w:fill="FFFFFF"/>
        <w:spacing w:after="0" w:line="360" w:lineRule="auto"/>
        <w:jc w:val="both"/>
        <w:rPr>
          <w:rFonts w:ascii="Arial" w:eastAsia="Times New Roman" w:hAnsi="Arial" w:cs="Arial"/>
          <w:lang w:eastAsia="en-GB"/>
        </w:rPr>
      </w:pPr>
      <w:r w:rsidRPr="0064111A">
        <w:rPr>
          <w:rFonts w:ascii="Arial" w:eastAsia="Times New Roman" w:hAnsi="Arial" w:cs="Arial"/>
          <w:lang w:eastAsia="en-GB"/>
        </w:rPr>
        <w:t>A reason related to your</w:t>
      </w:r>
      <w:r w:rsidRPr="00793085">
        <w:rPr>
          <w:rFonts w:ascii="Arial" w:eastAsia="Times New Roman" w:hAnsi="Arial" w:cs="Arial"/>
          <w:lang w:eastAsia="en-GB"/>
        </w:rPr>
        <w:t> </w:t>
      </w:r>
      <w:r w:rsidRPr="00793085">
        <w:rPr>
          <w:rFonts w:ascii="Arial" w:eastAsia="Times New Roman" w:hAnsi="Arial" w:cs="Arial"/>
          <w:b/>
          <w:i/>
          <w:iCs/>
          <w:lang w:eastAsia="en-GB"/>
        </w:rPr>
        <w:t>capability</w:t>
      </w:r>
      <w:r w:rsidRPr="00793085">
        <w:rPr>
          <w:rFonts w:ascii="Arial" w:eastAsia="Times New Roman" w:hAnsi="Arial" w:cs="Arial"/>
          <w:b/>
          <w:lang w:eastAsia="en-GB"/>
        </w:rPr>
        <w:t> </w:t>
      </w:r>
      <w:r w:rsidRPr="0064111A">
        <w:rPr>
          <w:rFonts w:ascii="Arial" w:eastAsia="Times New Roman" w:hAnsi="Arial" w:cs="Arial"/>
          <w:lang w:eastAsia="en-GB"/>
        </w:rPr>
        <w:t>or</w:t>
      </w:r>
      <w:r w:rsidRPr="00793085">
        <w:rPr>
          <w:rFonts w:ascii="Arial" w:eastAsia="Times New Roman" w:hAnsi="Arial" w:cs="Arial"/>
          <w:lang w:eastAsia="en-GB"/>
        </w:rPr>
        <w:t> </w:t>
      </w:r>
      <w:r w:rsidRPr="00793085">
        <w:rPr>
          <w:rFonts w:ascii="Arial" w:eastAsia="Times New Roman" w:hAnsi="Arial" w:cs="Arial"/>
          <w:b/>
          <w:i/>
          <w:iCs/>
          <w:lang w:eastAsia="en-GB"/>
        </w:rPr>
        <w:t>lack of qualifications</w:t>
      </w:r>
      <w:r w:rsidRPr="00793085">
        <w:rPr>
          <w:rFonts w:ascii="Arial" w:eastAsia="Times New Roman" w:hAnsi="Arial" w:cs="Arial"/>
          <w:lang w:eastAsia="en-GB"/>
        </w:rPr>
        <w:t> to do the job properly</w:t>
      </w:r>
    </w:p>
    <w:p w14:paraId="6E098803" w14:textId="77777777" w:rsidR="00793085" w:rsidRPr="0064111A" w:rsidRDefault="00793085" w:rsidP="00793085">
      <w:pPr>
        <w:shd w:val="clear" w:color="auto" w:fill="FFFFFF"/>
        <w:spacing w:after="0" w:line="360" w:lineRule="auto"/>
        <w:ind w:left="720"/>
        <w:jc w:val="both"/>
        <w:rPr>
          <w:rFonts w:ascii="Arial" w:eastAsia="Times New Roman" w:hAnsi="Arial" w:cs="Arial"/>
          <w:lang w:eastAsia="en-GB"/>
        </w:rPr>
      </w:pPr>
      <w:r w:rsidRPr="0064111A">
        <w:rPr>
          <w:rFonts w:ascii="Arial" w:eastAsia="Times New Roman" w:hAnsi="Arial" w:cs="Arial"/>
          <w:lang w:eastAsia="en-GB"/>
        </w:rPr>
        <w:t>see ERA sub-section 98(2) (a).</w:t>
      </w:r>
    </w:p>
    <w:p w14:paraId="7EB3DB83" w14:textId="77777777" w:rsidR="00793085" w:rsidRPr="00793085" w:rsidRDefault="00793085" w:rsidP="00793085">
      <w:pPr>
        <w:numPr>
          <w:ilvl w:val="0"/>
          <w:numId w:val="3"/>
        </w:numPr>
        <w:shd w:val="clear" w:color="auto" w:fill="FFFFFF"/>
        <w:spacing w:after="0" w:line="360" w:lineRule="auto"/>
        <w:jc w:val="both"/>
        <w:rPr>
          <w:rFonts w:ascii="Arial" w:eastAsia="Times New Roman" w:hAnsi="Arial" w:cs="Arial"/>
          <w:lang w:eastAsia="en-GB"/>
        </w:rPr>
      </w:pPr>
      <w:r w:rsidRPr="0064111A">
        <w:rPr>
          <w:rFonts w:ascii="Arial" w:eastAsia="Times New Roman" w:hAnsi="Arial" w:cs="Arial"/>
          <w:lang w:eastAsia="en-GB"/>
        </w:rPr>
        <w:t>A reason related to your</w:t>
      </w:r>
      <w:r w:rsidRPr="00793085">
        <w:rPr>
          <w:rFonts w:ascii="Arial" w:eastAsia="Times New Roman" w:hAnsi="Arial" w:cs="Arial"/>
          <w:lang w:eastAsia="en-GB"/>
        </w:rPr>
        <w:t> </w:t>
      </w:r>
      <w:r w:rsidRPr="00793085">
        <w:rPr>
          <w:rFonts w:ascii="Arial" w:eastAsia="Times New Roman" w:hAnsi="Arial" w:cs="Arial"/>
          <w:b/>
          <w:i/>
          <w:iCs/>
          <w:lang w:eastAsia="en-GB"/>
        </w:rPr>
        <w:t>conduct</w:t>
      </w:r>
    </w:p>
    <w:p w14:paraId="54F93DAE" w14:textId="77777777" w:rsidR="00793085" w:rsidRPr="00793085" w:rsidRDefault="00793085" w:rsidP="00793085">
      <w:pPr>
        <w:shd w:val="clear" w:color="auto" w:fill="FFFFFF"/>
        <w:spacing w:after="0" w:line="360" w:lineRule="auto"/>
        <w:ind w:firstLine="720"/>
        <w:jc w:val="both"/>
        <w:rPr>
          <w:rFonts w:ascii="Arial" w:eastAsia="Times New Roman" w:hAnsi="Arial" w:cs="Arial"/>
          <w:lang w:eastAsia="en-GB"/>
        </w:rPr>
      </w:pPr>
      <w:r w:rsidRPr="00793085">
        <w:rPr>
          <w:rFonts w:ascii="Arial" w:eastAsia="Times New Roman" w:hAnsi="Arial" w:cs="Arial"/>
          <w:lang w:eastAsia="en-GB"/>
        </w:rPr>
        <w:t>see ERA sub-section 98(2) (b).</w:t>
      </w:r>
    </w:p>
    <w:p w14:paraId="78C0173F" w14:textId="77777777" w:rsidR="00793085" w:rsidRPr="00793085" w:rsidRDefault="00793085" w:rsidP="00793085">
      <w:pPr>
        <w:numPr>
          <w:ilvl w:val="0"/>
          <w:numId w:val="3"/>
        </w:numPr>
        <w:shd w:val="clear" w:color="auto" w:fill="FFFFFF"/>
        <w:spacing w:after="0" w:line="360" w:lineRule="auto"/>
        <w:jc w:val="both"/>
        <w:rPr>
          <w:rFonts w:ascii="Arial" w:eastAsia="Times New Roman" w:hAnsi="Arial" w:cs="Arial"/>
          <w:lang w:eastAsia="en-GB"/>
        </w:rPr>
      </w:pPr>
      <w:r w:rsidRPr="0064111A">
        <w:rPr>
          <w:rFonts w:ascii="Arial" w:eastAsia="Times New Roman" w:hAnsi="Arial" w:cs="Arial"/>
          <w:lang w:eastAsia="en-GB"/>
        </w:rPr>
        <w:t>Your</w:t>
      </w:r>
      <w:r w:rsidRPr="00793085">
        <w:rPr>
          <w:rFonts w:ascii="Arial" w:eastAsia="Times New Roman" w:hAnsi="Arial" w:cs="Arial"/>
          <w:lang w:eastAsia="en-GB"/>
        </w:rPr>
        <w:t> </w:t>
      </w:r>
      <w:r w:rsidRPr="00793085">
        <w:rPr>
          <w:rFonts w:ascii="Arial" w:eastAsia="Times New Roman" w:hAnsi="Arial" w:cs="Arial"/>
          <w:b/>
          <w:i/>
          <w:iCs/>
          <w:lang w:eastAsia="en-GB"/>
        </w:rPr>
        <w:t>redundancy</w:t>
      </w:r>
    </w:p>
    <w:p w14:paraId="7C48C052" w14:textId="77777777" w:rsidR="00793085" w:rsidRPr="0064111A" w:rsidRDefault="00793085" w:rsidP="00793085">
      <w:pPr>
        <w:shd w:val="clear" w:color="auto" w:fill="FFFFFF"/>
        <w:spacing w:after="0" w:line="360" w:lineRule="auto"/>
        <w:ind w:left="720"/>
        <w:jc w:val="both"/>
        <w:rPr>
          <w:rFonts w:ascii="Arial" w:eastAsia="Times New Roman" w:hAnsi="Arial" w:cs="Arial"/>
          <w:lang w:eastAsia="en-GB"/>
        </w:rPr>
      </w:pPr>
      <w:r w:rsidRPr="0064111A">
        <w:rPr>
          <w:rFonts w:ascii="Arial" w:eastAsia="Times New Roman" w:hAnsi="Arial" w:cs="Arial"/>
          <w:lang w:eastAsia="en-GB"/>
        </w:rPr>
        <w:t>see ERA sub-section 98(2) (c).</w:t>
      </w:r>
    </w:p>
    <w:p w14:paraId="0E07147C" w14:textId="77777777" w:rsidR="00793085" w:rsidRPr="00793085" w:rsidRDefault="00793085" w:rsidP="00793085">
      <w:pPr>
        <w:numPr>
          <w:ilvl w:val="0"/>
          <w:numId w:val="3"/>
        </w:numPr>
        <w:shd w:val="clear" w:color="auto" w:fill="FFFFFF"/>
        <w:spacing w:after="0" w:line="360" w:lineRule="auto"/>
        <w:jc w:val="both"/>
        <w:rPr>
          <w:rFonts w:ascii="Arial" w:eastAsia="Times New Roman" w:hAnsi="Arial" w:cs="Arial"/>
          <w:lang w:eastAsia="en-GB"/>
        </w:rPr>
      </w:pPr>
      <w:r w:rsidRPr="0064111A">
        <w:rPr>
          <w:rFonts w:ascii="Arial" w:eastAsia="Times New Roman" w:hAnsi="Arial" w:cs="Arial"/>
          <w:lang w:eastAsia="en-GB"/>
        </w:rPr>
        <w:t>Some</w:t>
      </w:r>
      <w:r w:rsidRPr="00793085">
        <w:rPr>
          <w:rFonts w:ascii="Arial" w:eastAsia="Times New Roman" w:hAnsi="Arial" w:cs="Arial"/>
          <w:lang w:eastAsia="en-GB"/>
        </w:rPr>
        <w:t> </w:t>
      </w:r>
      <w:r w:rsidRPr="00793085">
        <w:rPr>
          <w:rFonts w:ascii="Arial" w:eastAsia="Times New Roman" w:hAnsi="Arial" w:cs="Arial"/>
          <w:b/>
          <w:i/>
          <w:iCs/>
          <w:lang w:eastAsia="en-GB"/>
        </w:rPr>
        <w:t>legal bar or requirement</w:t>
      </w:r>
      <w:r w:rsidRPr="00793085">
        <w:rPr>
          <w:rFonts w:ascii="Arial" w:eastAsia="Times New Roman" w:hAnsi="Arial" w:cs="Arial"/>
          <w:i/>
          <w:iCs/>
          <w:lang w:eastAsia="en-GB"/>
        </w:rPr>
        <w:t> </w:t>
      </w:r>
      <w:r w:rsidRPr="0064111A">
        <w:rPr>
          <w:rFonts w:ascii="Arial" w:eastAsia="Times New Roman" w:hAnsi="Arial" w:cs="Arial"/>
          <w:lang w:eastAsia="en-GB"/>
        </w:rPr>
        <w:t>means that you cannot continue in your position</w:t>
      </w:r>
    </w:p>
    <w:p w14:paraId="40A994EA" w14:textId="77777777" w:rsidR="00793085" w:rsidRPr="0064111A" w:rsidRDefault="00793085" w:rsidP="00793085">
      <w:pPr>
        <w:shd w:val="clear" w:color="auto" w:fill="FFFFFF"/>
        <w:spacing w:after="0" w:line="360" w:lineRule="auto"/>
        <w:ind w:left="720"/>
        <w:jc w:val="both"/>
        <w:rPr>
          <w:rFonts w:ascii="Arial" w:eastAsia="Times New Roman" w:hAnsi="Arial" w:cs="Arial"/>
          <w:lang w:eastAsia="en-GB"/>
        </w:rPr>
      </w:pPr>
      <w:r w:rsidRPr="0064111A">
        <w:rPr>
          <w:rFonts w:ascii="Arial" w:eastAsia="Times New Roman" w:hAnsi="Arial" w:cs="Arial"/>
          <w:lang w:eastAsia="en-GB"/>
        </w:rPr>
        <w:t>see ERA sub-section 98(2) (d).</w:t>
      </w:r>
    </w:p>
    <w:p w14:paraId="44C2B3DE" w14:textId="77777777" w:rsidR="00793085" w:rsidRPr="00793085" w:rsidRDefault="00793085" w:rsidP="00793085">
      <w:pPr>
        <w:numPr>
          <w:ilvl w:val="0"/>
          <w:numId w:val="3"/>
        </w:numPr>
        <w:shd w:val="clear" w:color="auto" w:fill="FFFFFF"/>
        <w:spacing w:after="0" w:line="360" w:lineRule="auto"/>
        <w:jc w:val="both"/>
        <w:rPr>
          <w:rFonts w:ascii="Arial" w:eastAsia="Times New Roman" w:hAnsi="Arial" w:cs="Arial"/>
          <w:lang w:eastAsia="en-GB"/>
        </w:rPr>
      </w:pPr>
      <w:r w:rsidRPr="0064111A">
        <w:rPr>
          <w:rFonts w:ascii="Arial" w:eastAsia="Times New Roman" w:hAnsi="Arial" w:cs="Arial"/>
          <w:lang w:eastAsia="en-GB"/>
        </w:rPr>
        <w:t>Your</w:t>
      </w:r>
      <w:r w:rsidRPr="00793085">
        <w:rPr>
          <w:rFonts w:ascii="Arial" w:eastAsia="Times New Roman" w:hAnsi="Arial" w:cs="Arial"/>
          <w:lang w:eastAsia="en-GB"/>
        </w:rPr>
        <w:t> </w:t>
      </w:r>
      <w:r w:rsidRPr="00793085">
        <w:rPr>
          <w:rFonts w:ascii="Arial" w:eastAsia="Times New Roman" w:hAnsi="Arial" w:cs="Arial"/>
          <w:b/>
          <w:i/>
          <w:iCs/>
          <w:lang w:eastAsia="en-GB"/>
        </w:rPr>
        <w:t>retiremen</w:t>
      </w:r>
      <w:r w:rsidRPr="00793085">
        <w:rPr>
          <w:rFonts w:ascii="Arial" w:eastAsia="Times New Roman" w:hAnsi="Arial" w:cs="Arial"/>
          <w:i/>
          <w:iCs/>
          <w:lang w:eastAsia="en-GB"/>
        </w:rPr>
        <w:t>t</w:t>
      </w:r>
    </w:p>
    <w:p w14:paraId="7C7B23D6" w14:textId="77777777" w:rsidR="00793085" w:rsidRPr="0064111A" w:rsidRDefault="00793085" w:rsidP="00793085">
      <w:pPr>
        <w:shd w:val="clear" w:color="auto" w:fill="FFFFFF"/>
        <w:spacing w:after="0" w:line="360" w:lineRule="auto"/>
        <w:ind w:left="360" w:firstLine="360"/>
        <w:jc w:val="both"/>
        <w:rPr>
          <w:rFonts w:ascii="Arial" w:eastAsia="Times New Roman" w:hAnsi="Arial" w:cs="Arial"/>
          <w:lang w:eastAsia="en-GB"/>
        </w:rPr>
      </w:pPr>
      <w:r w:rsidRPr="0064111A">
        <w:rPr>
          <w:rFonts w:ascii="Arial" w:eastAsia="Times New Roman" w:hAnsi="Arial" w:cs="Arial"/>
          <w:lang w:eastAsia="en-GB"/>
        </w:rPr>
        <w:t>see ERA sub-section 98(2) (</w:t>
      </w:r>
      <w:proofErr w:type="spellStart"/>
      <w:r w:rsidRPr="0064111A">
        <w:rPr>
          <w:rFonts w:ascii="Arial" w:eastAsia="Times New Roman" w:hAnsi="Arial" w:cs="Arial"/>
          <w:lang w:eastAsia="en-GB"/>
        </w:rPr>
        <w:t>ba</w:t>
      </w:r>
      <w:proofErr w:type="spellEnd"/>
      <w:r w:rsidRPr="0064111A">
        <w:rPr>
          <w:rFonts w:ascii="Arial" w:eastAsia="Times New Roman" w:hAnsi="Arial" w:cs="Arial"/>
          <w:lang w:eastAsia="en-GB"/>
        </w:rPr>
        <w:t>).</w:t>
      </w:r>
    </w:p>
    <w:p w14:paraId="1B1AC0EE" w14:textId="77777777" w:rsidR="00793085" w:rsidRPr="00793085" w:rsidRDefault="00793085" w:rsidP="00793085">
      <w:pPr>
        <w:numPr>
          <w:ilvl w:val="0"/>
          <w:numId w:val="3"/>
        </w:numPr>
        <w:shd w:val="clear" w:color="auto" w:fill="FFFFFF"/>
        <w:spacing w:after="0" w:line="360" w:lineRule="auto"/>
        <w:jc w:val="both"/>
        <w:rPr>
          <w:rFonts w:ascii="Arial" w:eastAsia="Times New Roman" w:hAnsi="Arial" w:cs="Arial"/>
          <w:lang w:eastAsia="en-GB"/>
        </w:rPr>
      </w:pPr>
      <w:r w:rsidRPr="0064111A">
        <w:rPr>
          <w:rFonts w:ascii="Arial" w:eastAsia="Times New Roman" w:hAnsi="Arial" w:cs="Arial"/>
          <w:lang w:eastAsia="en-GB"/>
        </w:rPr>
        <w:t>There was</w:t>
      </w:r>
      <w:r w:rsidRPr="00793085">
        <w:rPr>
          <w:rFonts w:ascii="Arial" w:eastAsia="Times New Roman" w:hAnsi="Arial" w:cs="Arial"/>
          <w:lang w:eastAsia="en-GB"/>
        </w:rPr>
        <w:t> </w:t>
      </w:r>
      <w:r w:rsidRPr="00793085">
        <w:rPr>
          <w:rFonts w:ascii="Arial" w:eastAsia="Times New Roman" w:hAnsi="Arial" w:cs="Arial"/>
          <w:b/>
          <w:i/>
          <w:iCs/>
          <w:lang w:eastAsia="en-GB"/>
        </w:rPr>
        <w:t>some other substantial reason</w:t>
      </w:r>
      <w:r w:rsidRPr="00793085">
        <w:rPr>
          <w:rFonts w:ascii="Arial" w:eastAsia="Times New Roman" w:hAnsi="Arial" w:cs="Arial"/>
          <w:lang w:eastAsia="en-GB"/>
        </w:rPr>
        <w:t> </w:t>
      </w:r>
      <w:r w:rsidRPr="0064111A">
        <w:rPr>
          <w:rFonts w:ascii="Arial" w:eastAsia="Times New Roman" w:hAnsi="Arial" w:cs="Arial"/>
          <w:lang w:eastAsia="en-GB"/>
        </w:rPr>
        <w:t>that could justify the dismissal of an employee holding the position which you held</w:t>
      </w:r>
    </w:p>
    <w:p w14:paraId="6C682B6C" w14:textId="77777777" w:rsidR="00793085" w:rsidRPr="00793085" w:rsidRDefault="00793085" w:rsidP="00793085">
      <w:pPr>
        <w:shd w:val="clear" w:color="auto" w:fill="FFFFFF"/>
        <w:spacing w:after="0" w:line="360" w:lineRule="auto"/>
        <w:ind w:left="360" w:firstLine="360"/>
        <w:jc w:val="both"/>
        <w:rPr>
          <w:rFonts w:ascii="Arial" w:eastAsia="Times New Roman" w:hAnsi="Arial" w:cs="Arial"/>
          <w:lang w:eastAsia="en-GB"/>
        </w:rPr>
      </w:pPr>
      <w:r w:rsidRPr="0064111A">
        <w:rPr>
          <w:rFonts w:ascii="Arial" w:eastAsia="Times New Roman" w:hAnsi="Arial" w:cs="Arial"/>
          <w:lang w:eastAsia="en-GB"/>
        </w:rPr>
        <w:t>see ERA sub-section 98(1) (b).</w:t>
      </w:r>
    </w:p>
    <w:p w14:paraId="7356BA94" w14:textId="77777777" w:rsidR="00793085" w:rsidRPr="00793085" w:rsidRDefault="00793085" w:rsidP="00793085">
      <w:pPr>
        <w:shd w:val="clear" w:color="auto" w:fill="FFFFFF"/>
        <w:spacing w:after="240" w:line="330" w:lineRule="atLeast"/>
        <w:jc w:val="both"/>
        <w:outlineLvl w:val="2"/>
        <w:rPr>
          <w:rFonts w:ascii="Arial" w:eastAsia="Times New Roman" w:hAnsi="Arial" w:cs="Arial"/>
          <w:b/>
          <w:bCs/>
          <w:lang w:eastAsia="en-GB"/>
        </w:rPr>
      </w:pPr>
    </w:p>
    <w:p w14:paraId="6140B2C7" w14:textId="77777777" w:rsidR="00793085" w:rsidRPr="00793085" w:rsidRDefault="00793085" w:rsidP="00793085">
      <w:pPr>
        <w:shd w:val="clear" w:color="auto" w:fill="FFFFFF"/>
        <w:spacing w:after="240" w:line="330" w:lineRule="atLeast"/>
        <w:jc w:val="both"/>
        <w:outlineLvl w:val="2"/>
        <w:rPr>
          <w:rFonts w:ascii="Arial" w:eastAsia="Times New Roman" w:hAnsi="Arial" w:cs="Arial"/>
          <w:b/>
          <w:bCs/>
          <w:sz w:val="28"/>
          <w:szCs w:val="28"/>
          <w:lang w:eastAsia="en-GB"/>
        </w:rPr>
      </w:pPr>
      <w:r w:rsidRPr="00793085">
        <w:rPr>
          <w:rFonts w:ascii="Arial" w:eastAsia="Times New Roman" w:hAnsi="Arial" w:cs="Arial"/>
          <w:b/>
          <w:bCs/>
          <w:sz w:val="28"/>
          <w:szCs w:val="28"/>
          <w:lang w:eastAsia="en-GB"/>
        </w:rPr>
        <w:t>Scope of the six potentially fair reasons</w:t>
      </w:r>
    </w:p>
    <w:p w14:paraId="0A17759B"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i/>
          <w:iCs/>
          <w:lang w:eastAsia="en-GB"/>
        </w:rPr>
        <w:t xml:space="preserve">1. </w:t>
      </w:r>
      <w:r w:rsidRPr="00793085">
        <w:rPr>
          <w:rFonts w:ascii="Arial" w:eastAsia="Times New Roman" w:hAnsi="Arial" w:cs="Arial"/>
          <w:b/>
          <w:i/>
          <w:iCs/>
          <w:lang w:eastAsia="en-GB"/>
        </w:rPr>
        <w:t>Incapability / lack of qualifications</w:t>
      </w:r>
    </w:p>
    <w:p w14:paraId="410771B5"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Under ERA sub-section 98(2) (a), your incapability or lack of qualifications must relate to the work you’re employed to do for it to qualify as a potentially fair reason for dismissal.</w:t>
      </w:r>
    </w:p>
    <w:p w14:paraId="55A201A6"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Moreover, before dismissing you your employer should normally meet with you, warn you about your standard of work and give you a chance to improve. This may mean your employer needs to give you more training (e.g., on how to use a recently introduced computerised system) or other support.</w:t>
      </w:r>
    </w:p>
    <w:p w14:paraId="43260F6D"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At a minimum, you have a right to be accompanied by a colleague or employee representative (e.g., a trade union official) at the meeting.</w:t>
      </w:r>
    </w:p>
    <w:p w14:paraId="262AA570"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Your employer should also clearly set out in writing the problem, the degree of improvement required, the timescale for improvement, the support available, and a review date.</w:t>
      </w:r>
    </w:p>
    <w:p w14:paraId="4D196F30"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The review date should be set so that you have a reasonable opportunity to improve before any action is taken.</w:t>
      </w:r>
    </w:p>
    <w:p w14:paraId="63CB5270"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lastRenderedPageBreak/>
        <w:t>Interestingly, a potentially fair dismissal on the ground of incapability extends not only to incompetence and inherent inability to do the job but also to debilitating sickness and illness — even where it has been caused by the employer.</w:t>
      </w:r>
    </w:p>
    <w:p w14:paraId="0A266FE7"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For a dismissal in this instance, however, your employer will need to tread very, very carefully. Your employer should allow a reasonable amount of time for you to recover from your illness. The actual amount will depend on things like:</w:t>
      </w:r>
    </w:p>
    <w:p w14:paraId="7F9FA2E4" w14:textId="77777777" w:rsidR="00793085" w:rsidRPr="00793085" w:rsidRDefault="00793085" w:rsidP="00793085">
      <w:pPr>
        <w:numPr>
          <w:ilvl w:val="0"/>
          <w:numId w:val="1"/>
        </w:numPr>
        <w:shd w:val="clear" w:color="auto" w:fill="FFFFFF"/>
        <w:spacing w:before="100" w:beforeAutospacing="1" w:after="100" w:afterAutospacing="1" w:line="330" w:lineRule="atLeast"/>
        <w:ind w:left="0"/>
        <w:jc w:val="both"/>
        <w:rPr>
          <w:rFonts w:ascii="Arial" w:eastAsia="Times New Roman" w:hAnsi="Arial" w:cs="Arial"/>
          <w:lang w:eastAsia="en-GB"/>
        </w:rPr>
      </w:pPr>
      <w:r w:rsidRPr="00793085">
        <w:rPr>
          <w:rFonts w:ascii="Arial" w:eastAsia="Times New Roman" w:hAnsi="Arial" w:cs="Arial"/>
          <w:lang w:eastAsia="en-GB"/>
        </w:rPr>
        <w:t>the nature and likely duration of your illness (with some conditions, like broken bones, it might be clear how long it will take but with something like stress it can be uncertain);</w:t>
      </w:r>
    </w:p>
    <w:p w14:paraId="2A390AF4" w14:textId="77777777" w:rsidR="00793085" w:rsidRPr="00793085" w:rsidRDefault="00793085" w:rsidP="00793085">
      <w:pPr>
        <w:numPr>
          <w:ilvl w:val="0"/>
          <w:numId w:val="1"/>
        </w:numPr>
        <w:shd w:val="clear" w:color="auto" w:fill="FFFFFF"/>
        <w:spacing w:before="100" w:beforeAutospacing="1" w:after="100" w:afterAutospacing="1" w:line="330" w:lineRule="atLeast"/>
        <w:ind w:left="0"/>
        <w:jc w:val="both"/>
        <w:rPr>
          <w:rFonts w:ascii="Arial" w:eastAsia="Times New Roman" w:hAnsi="Arial" w:cs="Arial"/>
          <w:lang w:eastAsia="en-GB"/>
        </w:rPr>
      </w:pPr>
      <w:r w:rsidRPr="00793085">
        <w:rPr>
          <w:rFonts w:ascii="Arial" w:eastAsia="Times New Roman" w:hAnsi="Arial" w:cs="Arial"/>
          <w:lang w:eastAsia="en-GB"/>
        </w:rPr>
        <w:t>whether your employer is responsible for the incapacity (in which case it may be expected to go the extra mile to find you alternative employment);</w:t>
      </w:r>
    </w:p>
    <w:p w14:paraId="6965EB82" w14:textId="77777777" w:rsidR="00793085" w:rsidRPr="00793085" w:rsidRDefault="00793085" w:rsidP="00793085">
      <w:pPr>
        <w:numPr>
          <w:ilvl w:val="0"/>
          <w:numId w:val="1"/>
        </w:numPr>
        <w:shd w:val="clear" w:color="auto" w:fill="FFFFFF"/>
        <w:spacing w:before="100" w:beforeAutospacing="1" w:after="100" w:afterAutospacing="1" w:line="330" w:lineRule="atLeast"/>
        <w:ind w:left="0"/>
        <w:jc w:val="both"/>
        <w:rPr>
          <w:rFonts w:ascii="Arial" w:eastAsia="Times New Roman" w:hAnsi="Arial" w:cs="Arial"/>
          <w:lang w:eastAsia="en-GB"/>
        </w:rPr>
      </w:pPr>
      <w:r w:rsidRPr="00793085">
        <w:rPr>
          <w:rFonts w:ascii="Arial" w:eastAsia="Times New Roman" w:hAnsi="Arial" w:cs="Arial"/>
          <w:lang w:eastAsia="en-GB"/>
        </w:rPr>
        <w:t>how easy it is to get cover for your job;</w:t>
      </w:r>
    </w:p>
    <w:p w14:paraId="0608D543" w14:textId="77777777" w:rsidR="00793085" w:rsidRPr="00793085" w:rsidRDefault="00793085" w:rsidP="00793085">
      <w:pPr>
        <w:numPr>
          <w:ilvl w:val="0"/>
          <w:numId w:val="1"/>
        </w:numPr>
        <w:shd w:val="clear" w:color="auto" w:fill="FFFFFF"/>
        <w:spacing w:before="100" w:beforeAutospacing="1" w:after="100" w:afterAutospacing="1" w:line="330" w:lineRule="atLeast"/>
        <w:ind w:left="0"/>
        <w:jc w:val="both"/>
        <w:rPr>
          <w:rFonts w:ascii="Arial" w:eastAsia="Times New Roman" w:hAnsi="Arial" w:cs="Arial"/>
          <w:lang w:eastAsia="en-GB"/>
        </w:rPr>
      </w:pPr>
      <w:r w:rsidRPr="00793085">
        <w:rPr>
          <w:rFonts w:ascii="Arial" w:eastAsia="Times New Roman" w:hAnsi="Arial" w:cs="Arial"/>
          <w:lang w:eastAsia="en-GB"/>
        </w:rPr>
        <w:t>whether your job can be kept open;</w:t>
      </w:r>
    </w:p>
    <w:p w14:paraId="1BEA288F" w14:textId="77777777" w:rsidR="00793085" w:rsidRPr="00793085" w:rsidRDefault="00793085" w:rsidP="00793085">
      <w:pPr>
        <w:numPr>
          <w:ilvl w:val="0"/>
          <w:numId w:val="1"/>
        </w:numPr>
        <w:shd w:val="clear" w:color="auto" w:fill="FFFFFF"/>
        <w:spacing w:before="100" w:beforeAutospacing="1" w:after="100" w:afterAutospacing="1" w:line="330" w:lineRule="atLeast"/>
        <w:ind w:left="0"/>
        <w:jc w:val="both"/>
        <w:rPr>
          <w:rFonts w:ascii="Arial" w:eastAsia="Times New Roman" w:hAnsi="Arial" w:cs="Arial"/>
          <w:lang w:eastAsia="en-GB"/>
        </w:rPr>
      </w:pPr>
      <w:r w:rsidRPr="00793085">
        <w:rPr>
          <w:rFonts w:ascii="Arial" w:eastAsia="Times New Roman" w:hAnsi="Arial" w:cs="Arial"/>
          <w:lang w:eastAsia="en-GB"/>
        </w:rPr>
        <w:t>whether the illness could be classed as a ‘disability’ (in which case your employer has a legal duty under the Equality Act to make ‘reasonable adjustments’ to find a way round the problem).</w:t>
      </w:r>
    </w:p>
    <w:p w14:paraId="0122B8CA"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i/>
          <w:iCs/>
          <w:lang w:eastAsia="en-GB"/>
        </w:rPr>
        <w:t xml:space="preserve">2. </w:t>
      </w:r>
      <w:r w:rsidRPr="00793085">
        <w:rPr>
          <w:rFonts w:ascii="Arial" w:eastAsia="Times New Roman" w:hAnsi="Arial" w:cs="Arial"/>
          <w:b/>
          <w:i/>
          <w:iCs/>
          <w:lang w:eastAsia="en-GB"/>
        </w:rPr>
        <w:t>Misconduct</w:t>
      </w:r>
    </w:p>
    <w:p w14:paraId="2C17D1C2"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An employer may try to justify a misconduct dismissal under ERA sub-section 98(2) (b) on the basis that you’ve broken one or more terms of your employment contract.</w:t>
      </w:r>
    </w:p>
    <w:p w14:paraId="28D6D80B"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Such misconduct may encompass abusive behaviour, dishonesty, fighting, sexual harassment, theft, bribery, sharing confidential information, tardiness, repeated absences without permission, or intoxication at work.</w:t>
      </w:r>
    </w:p>
    <w:p w14:paraId="552AF7CC"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In all instances, your employer should follow a fair disciplinary procedure before dismissing you for misconduct.</w:t>
      </w:r>
    </w:p>
    <w:p w14:paraId="6C712E7A"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u w:val="single"/>
          <w:lang w:eastAsia="en-GB"/>
        </w:rPr>
        <w:t>Dismissal for misconduct outside of employment</w:t>
      </w:r>
    </w:p>
    <w:p w14:paraId="4D10ECEA"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In some cases, an employer may decide to dismiss an employee for his/her conduct </w:t>
      </w:r>
      <w:r w:rsidRPr="00793085">
        <w:rPr>
          <w:rFonts w:ascii="Arial" w:eastAsia="Times New Roman" w:hAnsi="Arial" w:cs="Arial"/>
          <w:i/>
          <w:iCs/>
          <w:lang w:eastAsia="en-GB"/>
        </w:rPr>
        <w:t>outside</w:t>
      </w:r>
      <w:r w:rsidRPr="00793085">
        <w:rPr>
          <w:rFonts w:ascii="Arial" w:eastAsia="Times New Roman" w:hAnsi="Arial" w:cs="Arial"/>
          <w:lang w:eastAsia="en-GB"/>
        </w:rPr>
        <w:t> of employment. For dismissal to be fair, however, the misconduct must affect the employment relationship.</w:t>
      </w:r>
    </w:p>
    <w:p w14:paraId="1D5DAABF"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This issue was addressed by the Court of Appeal in </w:t>
      </w:r>
      <w:hyperlink r:id="rId7" w:tgtFrame="_blank" w:tooltip="X v. Y [2004] EWCA Civ 662" w:history="1">
        <w:r w:rsidRPr="00793085">
          <w:rPr>
            <w:rFonts w:ascii="Arial" w:eastAsia="Times New Roman" w:hAnsi="Arial" w:cs="Arial"/>
            <w:lang w:eastAsia="en-GB"/>
          </w:rPr>
          <w:t>X v. Y [2004] EWCA Civ 662</w:t>
        </w:r>
      </w:hyperlink>
      <w:r w:rsidRPr="00793085">
        <w:rPr>
          <w:rFonts w:ascii="Arial" w:eastAsia="Times New Roman" w:hAnsi="Arial" w:cs="Arial"/>
          <w:lang w:eastAsia="en-GB"/>
        </w:rPr>
        <w:t>, a case concerning the dismissal of a charity employee involved in the personal development of young offenders and those at risk of offending in the 16-26 age group.</w:t>
      </w:r>
    </w:p>
    <w:p w14:paraId="2D6C1DC8"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The charity decided to dismiss the employee for gross misconduct after it learnt he had been arrested and cautioned for a sexual offence with another man in a motorway service station toilet. The incident had occurred while the man was off duty and well away from his workplace, so he decided to conceal the caution from the charity.</w:t>
      </w:r>
    </w:p>
    <w:p w14:paraId="27BF4492"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lastRenderedPageBreak/>
        <w:t>The caution came to light as a result of normal police checks made by the local Probation Service before providing further funding to the charity.</w:t>
      </w:r>
    </w:p>
    <w:p w14:paraId="6FB65061"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After being sacked, the man brought a claim for unfair dismissal, citing Article 8 of the European Convention on Human Rights (right to respect for private life) and Article 14 (prohibition of discrimination).</w:t>
      </w:r>
    </w:p>
    <w:p w14:paraId="4036940C"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The Court of Appeal dismissed the claim. It found that Article 8 did not apply as the offence had not taken place in private, but in a transport café, and it should have been disclosed to his employer.</w:t>
      </w:r>
    </w:p>
    <w:p w14:paraId="08DA5F1D"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The Court also held that the offence was relevant to the man’s employment and that the charity was entitled to treat the caution as an acceptance that a criminal offence had been committed, which, in turn, amounted to gross misconduct within the terms of its disciplinary procedure.</w:t>
      </w:r>
    </w:p>
    <w:p w14:paraId="3C7F8B57"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As it was the man’s criminality and his lack of transparency, and not his sexuality, which were the grounds of the decision to dismiss him for misconduct, the Court ruled that Article 14 became irrelevant.</w:t>
      </w:r>
    </w:p>
    <w:p w14:paraId="04115E1A" w14:textId="77777777" w:rsidR="00793085" w:rsidRPr="00793085" w:rsidRDefault="00793085" w:rsidP="00793085">
      <w:pPr>
        <w:shd w:val="clear" w:color="auto" w:fill="FFFFFF"/>
        <w:spacing w:after="240" w:line="330" w:lineRule="atLeast"/>
        <w:jc w:val="both"/>
        <w:rPr>
          <w:rFonts w:ascii="Arial" w:eastAsia="Times New Roman" w:hAnsi="Arial" w:cs="Arial"/>
          <w:b/>
          <w:lang w:eastAsia="en-GB"/>
        </w:rPr>
      </w:pPr>
      <w:r w:rsidRPr="00793085">
        <w:rPr>
          <w:rFonts w:ascii="Arial" w:eastAsia="Times New Roman" w:hAnsi="Arial" w:cs="Arial"/>
          <w:i/>
          <w:iCs/>
          <w:lang w:eastAsia="en-GB"/>
        </w:rPr>
        <w:t xml:space="preserve">3. </w:t>
      </w:r>
      <w:r w:rsidRPr="00793085">
        <w:rPr>
          <w:rFonts w:ascii="Arial" w:eastAsia="Times New Roman" w:hAnsi="Arial" w:cs="Arial"/>
          <w:b/>
          <w:i/>
          <w:iCs/>
          <w:lang w:eastAsia="en-GB"/>
        </w:rPr>
        <w:t>Redundancy</w:t>
      </w:r>
    </w:p>
    <w:p w14:paraId="2953C897"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Redundancy is another potentially fair reason for dismissal under ERA sub-section 98(2) (c). But, if an employer fails to handle a redundancy fairly, it may face liability for unfair dismissal. Read </w:t>
      </w:r>
      <w:hyperlink r:id="rId8" w:tgtFrame="_blank" w:tooltip="Redundancy FAQs" w:history="1">
        <w:r w:rsidRPr="00793085">
          <w:rPr>
            <w:rFonts w:ascii="Arial" w:eastAsia="Times New Roman" w:hAnsi="Arial" w:cs="Arial"/>
            <w:lang w:eastAsia="en-GB"/>
          </w:rPr>
          <w:t>Redundancy FAQs</w:t>
        </w:r>
      </w:hyperlink>
      <w:r w:rsidRPr="00793085">
        <w:rPr>
          <w:rFonts w:ascii="Arial" w:eastAsia="Times New Roman" w:hAnsi="Arial" w:cs="Arial"/>
          <w:lang w:eastAsia="en-GB"/>
        </w:rPr>
        <w:t> to learn more.</w:t>
      </w:r>
    </w:p>
    <w:p w14:paraId="0E4304BA" w14:textId="77777777" w:rsidR="00793085" w:rsidRPr="00793085" w:rsidRDefault="00793085" w:rsidP="00793085">
      <w:pPr>
        <w:shd w:val="clear" w:color="auto" w:fill="FFFFFF"/>
        <w:spacing w:after="240" w:line="330" w:lineRule="atLeast"/>
        <w:jc w:val="both"/>
        <w:rPr>
          <w:rFonts w:ascii="Arial" w:eastAsia="Times New Roman" w:hAnsi="Arial" w:cs="Arial"/>
          <w:b/>
          <w:lang w:eastAsia="en-GB"/>
        </w:rPr>
      </w:pPr>
      <w:r w:rsidRPr="00793085">
        <w:rPr>
          <w:rFonts w:ascii="Arial" w:eastAsia="Times New Roman" w:hAnsi="Arial" w:cs="Arial"/>
          <w:i/>
          <w:iCs/>
          <w:lang w:eastAsia="en-GB"/>
        </w:rPr>
        <w:t xml:space="preserve">4. </w:t>
      </w:r>
      <w:r w:rsidRPr="00793085">
        <w:rPr>
          <w:rFonts w:ascii="Arial" w:eastAsia="Times New Roman" w:hAnsi="Arial" w:cs="Arial"/>
          <w:b/>
          <w:i/>
          <w:iCs/>
          <w:lang w:eastAsia="en-GB"/>
        </w:rPr>
        <w:t>Legal bar or requirements (‘illegality’)</w:t>
      </w:r>
    </w:p>
    <w:p w14:paraId="3C190C11"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Under ERA sub-section 98(2) (d), it may be fair to dismiss someone if it would become illegal to continue to employ them. This might encompass for example the dismissal of a driver who loses their driving licence over drink driving.</w:t>
      </w:r>
    </w:p>
    <w:p w14:paraId="27F0C05E"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Before deciding to dismiss the employee, however, the employer should consider whether it’s possible to redeploy them in another job. Continuing the example of the disqualified driver, it may be possible to redeploy them in a related job, like vehicle maintenance.</w:t>
      </w:r>
    </w:p>
    <w:p w14:paraId="5A10A7F8"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i/>
          <w:iCs/>
          <w:lang w:eastAsia="en-GB"/>
        </w:rPr>
        <w:t xml:space="preserve">5. </w:t>
      </w:r>
      <w:r w:rsidRPr="00793085">
        <w:rPr>
          <w:rFonts w:ascii="Arial" w:eastAsia="Times New Roman" w:hAnsi="Arial" w:cs="Arial"/>
          <w:b/>
          <w:i/>
          <w:iCs/>
          <w:lang w:eastAsia="en-GB"/>
        </w:rPr>
        <w:t>Retirement</w:t>
      </w:r>
    </w:p>
    <w:p w14:paraId="4C08BC6B"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Under sub-section 98(3A), the fairness of a retirement dismissal is determined by ERA sub-sections 98ZA – 98ZH.</w:t>
      </w:r>
    </w:p>
    <w:p w14:paraId="06314139"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Currently, under the </w:t>
      </w:r>
      <w:hyperlink r:id="rId9" w:anchor="30" w:tgtFrame="_blank" w:tooltip="Employment Equality (Age) Regulations 2006" w:history="1">
        <w:r w:rsidRPr="00793085">
          <w:rPr>
            <w:rFonts w:ascii="Arial" w:eastAsia="Times New Roman" w:hAnsi="Arial" w:cs="Arial"/>
            <w:lang w:eastAsia="en-GB"/>
          </w:rPr>
          <w:t>Employment Equality (Age) Regulations 2006</w:t>
        </w:r>
      </w:hyperlink>
      <w:r w:rsidRPr="00793085">
        <w:rPr>
          <w:rFonts w:ascii="Arial" w:eastAsia="Times New Roman" w:hAnsi="Arial" w:cs="Arial"/>
          <w:lang w:eastAsia="en-GB"/>
        </w:rPr>
        <w:t xml:space="preserve">, employers can require all staff to retire at 65, or the employer’s normal retirement age, regardless of their circumstances, so long as they follow the procedure set out in the statute. This procedure requires an employer to give an employee at least six months’ notice of retirement. If the employee serves </w:t>
      </w:r>
      <w:r w:rsidRPr="00793085">
        <w:rPr>
          <w:rFonts w:ascii="Arial" w:eastAsia="Times New Roman" w:hAnsi="Arial" w:cs="Arial"/>
          <w:lang w:eastAsia="en-GB"/>
        </w:rPr>
        <w:lastRenderedPageBreak/>
        <w:t>notice that he or she wants to continue working past retirement, the employer must consider the application. Read ‘</w:t>
      </w:r>
      <w:hyperlink r:id="rId10" w:tgtFrame="_blank" w:tooltip="Age discrimination" w:history="1">
        <w:r w:rsidRPr="00793085">
          <w:rPr>
            <w:rFonts w:ascii="Arial" w:eastAsia="Times New Roman" w:hAnsi="Arial" w:cs="Arial"/>
            <w:lang w:eastAsia="en-GB"/>
          </w:rPr>
          <w:t>Age discrimination</w:t>
        </w:r>
      </w:hyperlink>
      <w:r w:rsidRPr="00793085">
        <w:rPr>
          <w:rFonts w:ascii="Arial" w:eastAsia="Times New Roman" w:hAnsi="Arial" w:cs="Arial"/>
          <w:lang w:eastAsia="en-GB"/>
        </w:rPr>
        <w:t>’ to learn more.</w:t>
      </w:r>
    </w:p>
    <w:p w14:paraId="2A9FCDD9" w14:textId="77777777" w:rsidR="00793085" w:rsidRPr="00793085" w:rsidRDefault="00793085" w:rsidP="00793085">
      <w:pPr>
        <w:spacing w:after="0" w:line="360" w:lineRule="auto"/>
        <w:jc w:val="both"/>
        <w:rPr>
          <w:rFonts w:ascii="Arial" w:eastAsia="Times New Roman" w:hAnsi="Arial" w:cs="Arial"/>
          <w:lang w:eastAsia="en-GB"/>
        </w:rPr>
      </w:pPr>
      <w:r w:rsidRPr="00793085">
        <w:rPr>
          <w:rFonts w:ascii="Arial" w:eastAsia="Times New Roman" w:hAnsi="Arial" w:cs="Arial"/>
          <w:shd w:val="clear" w:color="auto" w:fill="FFFFFF"/>
          <w:lang w:eastAsia="en-GB"/>
        </w:rPr>
        <w:t>[Note: Under government proposals revealed in July 2010, employers will no longer be able to issue any notifications for compulsory retirement using the DRA procedure from 6 April 2011 onwards. Employers will only be allowed to compulsorily retire employees if they notify affected staff before 6 April and set a retirement date before 1 October 2011. If employers wish to use retirement ages after 1 October 2011 they will have to demonstrate they are “objectively justified”. Examples could include air traffic controllers and police officers.]</w:t>
      </w:r>
    </w:p>
    <w:p w14:paraId="4FA8C2C4"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i/>
          <w:iCs/>
          <w:lang w:eastAsia="en-GB"/>
        </w:rPr>
        <w:t xml:space="preserve">6. </w:t>
      </w:r>
      <w:r w:rsidRPr="00793085">
        <w:rPr>
          <w:rFonts w:ascii="Arial" w:eastAsia="Times New Roman" w:hAnsi="Arial" w:cs="Arial"/>
          <w:b/>
          <w:i/>
          <w:iCs/>
          <w:lang w:eastAsia="en-GB"/>
        </w:rPr>
        <w:t>Some other substantial reason justified dismissal</w:t>
      </w:r>
    </w:p>
    <w:p w14:paraId="1844B73E"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ERA sub-section 98(1) (b) is essentially a catch-all provision and encompasses a wide variety of dismissals.</w:t>
      </w:r>
    </w:p>
    <w:p w14:paraId="1F36776E"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Emphasis should be placed on the word “substantial”, however; if the dismissal is “whimsical, unworthy or trivial”, it will not suffice.</w:t>
      </w:r>
    </w:p>
    <w:p w14:paraId="07906964" w14:textId="77777777" w:rsidR="00793085" w:rsidRPr="00793085" w:rsidRDefault="00793085" w:rsidP="00793085">
      <w:pPr>
        <w:shd w:val="clear" w:color="auto" w:fill="FFFFFF"/>
        <w:spacing w:after="240" w:line="330" w:lineRule="atLeast"/>
        <w:jc w:val="both"/>
        <w:rPr>
          <w:rFonts w:ascii="Arial" w:eastAsia="Times New Roman" w:hAnsi="Arial" w:cs="Arial"/>
          <w:lang w:eastAsia="en-GB"/>
        </w:rPr>
      </w:pPr>
      <w:r w:rsidRPr="00793085">
        <w:rPr>
          <w:rFonts w:ascii="Arial" w:eastAsia="Times New Roman" w:hAnsi="Arial" w:cs="Arial"/>
          <w:lang w:eastAsia="en-GB"/>
        </w:rPr>
        <w:t>It isn’t possible to provide a comprehensive list of reasons for dismissal under this sub-section, but here are a few that have been held potentially fair by the courts:</w:t>
      </w:r>
    </w:p>
    <w:p w14:paraId="4A27DE2B" w14:textId="77777777" w:rsidR="00793085" w:rsidRPr="00793085" w:rsidRDefault="00793085" w:rsidP="00793085">
      <w:pPr>
        <w:numPr>
          <w:ilvl w:val="0"/>
          <w:numId w:val="2"/>
        </w:numPr>
        <w:shd w:val="clear" w:color="auto" w:fill="FFFFFF"/>
        <w:spacing w:before="100" w:beforeAutospacing="1" w:after="100" w:afterAutospacing="1" w:line="330" w:lineRule="atLeast"/>
        <w:ind w:left="0"/>
        <w:jc w:val="both"/>
        <w:rPr>
          <w:rFonts w:ascii="Arial" w:eastAsia="Times New Roman" w:hAnsi="Arial" w:cs="Arial"/>
          <w:lang w:eastAsia="en-GB"/>
        </w:rPr>
      </w:pPr>
      <w:r w:rsidRPr="00793085">
        <w:rPr>
          <w:rFonts w:ascii="Arial" w:eastAsia="Times New Roman" w:hAnsi="Arial" w:cs="Arial"/>
          <w:lang w:eastAsia="en-GB"/>
        </w:rPr>
        <w:t>unreasonably refusing to accept a reorganisation that changes employment terms (e.g., working hours);</w:t>
      </w:r>
    </w:p>
    <w:p w14:paraId="76830457" w14:textId="77777777" w:rsidR="00793085" w:rsidRPr="00793085" w:rsidRDefault="00793085" w:rsidP="00793085">
      <w:pPr>
        <w:numPr>
          <w:ilvl w:val="0"/>
          <w:numId w:val="2"/>
        </w:numPr>
        <w:shd w:val="clear" w:color="auto" w:fill="FFFFFF"/>
        <w:spacing w:before="100" w:beforeAutospacing="1" w:after="100" w:afterAutospacing="1" w:line="330" w:lineRule="atLeast"/>
        <w:ind w:left="0"/>
        <w:jc w:val="both"/>
        <w:rPr>
          <w:rFonts w:ascii="Arial" w:eastAsia="Times New Roman" w:hAnsi="Arial" w:cs="Arial"/>
          <w:lang w:eastAsia="en-GB"/>
        </w:rPr>
      </w:pPr>
      <w:r w:rsidRPr="00793085">
        <w:rPr>
          <w:rFonts w:ascii="Arial" w:eastAsia="Times New Roman" w:hAnsi="Arial" w:cs="Arial"/>
          <w:lang w:eastAsia="en-GB"/>
        </w:rPr>
        <w:t>replacement by a better qualified employee;</w:t>
      </w:r>
    </w:p>
    <w:p w14:paraId="1B4A6CF4" w14:textId="77777777" w:rsidR="00793085" w:rsidRPr="00793085" w:rsidRDefault="00793085" w:rsidP="00793085">
      <w:pPr>
        <w:numPr>
          <w:ilvl w:val="0"/>
          <w:numId w:val="2"/>
        </w:numPr>
        <w:shd w:val="clear" w:color="auto" w:fill="FFFFFF"/>
        <w:spacing w:before="100" w:beforeAutospacing="1" w:after="100" w:afterAutospacing="1" w:line="330" w:lineRule="atLeast"/>
        <w:ind w:left="0"/>
        <w:jc w:val="both"/>
        <w:rPr>
          <w:rFonts w:ascii="Arial" w:eastAsia="Times New Roman" w:hAnsi="Arial" w:cs="Arial"/>
          <w:lang w:eastAsia="en-GB"/>
        </w:rPr>
      </w:pPr>
      <w:r w:rsidRPr="00793085">
        <w:rPr>
          <w:rFonts w:ascii="Arial" w:eastAsia="Times New Roman" w:hAnsi="Arial" w:cs="Arial"/>
          <w:lang w:eastAsia="en-GB"/>
        </w:rPr>
        <w:t>end of genuine temporary employment;</w:t>
      </w:r>
    </w:p>
    <w:p w14:paraId="11427D1F" w14:textId="77777777" w:rsidR="00793085" w:rsidRPr="00793085" w:rsidRDefault="00793085" w:rsidP="00793085">
      <w:pPr>
        <w:numPr>
          <w:ilvl w:val="0"/>
          <w:numId w:val="2"/>
        </w:numPr>
        <w:shd w:val="clear" w:color="auto" w:fill="FFFFFF"/>
        <w:spacing w:before="100" w:beforeAutospacing="1" w:after="100" w:afterAutospacing="1" w:line="330" w:lineRule="atLeast"/>
        <w:ind w:left="0"/>
        <w:jc w:val="both"/>
        <w:rPr>
          <w:rFonts w:ascii="Arial" w:eastAsia="Times New Roman" w:hAnsi="Arial" w:cs="Arial"/>
          <w:lang w:eastAsia="en-GB"/>
        </w:rPr>
      </w:pPr>
      <w:r w:rsidRPr="00793085">
        <w:rPr>
          <w:rFonts w:ascii="Arial" w:eastAsia="Times New Roman" w:hAnsi="Arial" w:cs="Arial"/>
          <w:lang w:eastAsia="en-GB"/>
        </w:rPr>
        <w:t>dismissal because of an irresolvable personality clash with a co-worker;</w:t>
      </w:r>
    </w:p>
    <w:p w14:paraId="3EC6D5BE" w14:textId="77777777" w:rsidR="00793085" w:rsidRPr="00793085" w:rsidRDefault="00793085" w:rsidP="00793085">
      <w:pPr>
        <w:numPr>
          <w:ilvl w:val="0"/>
          <w:numId w:val="2"/>
        </w:numPr>
        <w:shd w:val="clear" w:color="auto" w:fill="FFFFFF"/>
        <w:spacing w:before="100" w:beforeAutospacing="1" w:after="100" w:afterAutospacing="1" w:line="330" w:lineRule="atLeast"/>
        <w:ind w:left="0"/>
        <w:jc w:val="both"/>
        <w:rPr>
          <w:rFonts w:ascii="Arial" w:eastAsia="Times New Roman" w:hAnsi="Arial" w:cs="Arial"/>
          <w:lang w:eastAsia="en-GB"/>
        </w:rPr>
      </w:pPr>
      <w:r w:rsidRPr="00793085">
        <w:rPr>
          <w:rFonts w:ascii="Arial" w:eastAsia="Times New Roman" w:hAnsi="Arial" w:cs="Arial"/>
          <w:lang w:eastAsia="en-GB"/>
        </w:rPr>
        <w:t>the relationship between an employee and someone working for a competitor, where there is a genuine risk of revealing trade secrets;</w:t>
      </w:r>
    </w:p>
    <w:p w14:paraId="6D02BECD" w14:textId="77777777" w:rsidR="00793085" w:rsidRPr="00793085" w:rsidRDefault="00793085" w:rsidP="00793085">
      <w:pPr>
        <w:numPr>
          <w:ilvl w:val="0"/>
          <w:numId w:val="2"/>
        </w:numPr>
        <w:shd w:val="clear" w:color="auto" w:fill="FFFFFF"/>
        <w:spacing w:before="100" w:beforeAutospacing="1" w:after="100" w:afterAutospacing="1" w:line="330" w:lineRule="atLeast"/>
        <w:ind w:left="0"/>
        <w:jc w:val="both"/>
        <w:rPr>
          <w:rFonts w:ascii="Arial" w:eastAsia="Times New Roman" w:hAnsi="Arial" w:cs="Arial"/>
          <w:lang w:eastAsia="en-GB"/>
        </w:rPr>
      </w:pPr>
      <w:r w:rsidRPr="00793085">
        <w:rPr>
          <w:rFonts w:ascii="Arial" w:eastAsia="Times New Roman" w:hAnsi="Arial" w:cs="Arial"/>
          <w:lang w:eastAsia="en-GB"/>
        </w:rPr>
        <w:t>refusal of employees to accept a new restraint of trade clause in their contracts.</w:t>
      </w:r>
    </w:p>
    <w:p w14:paraId="1D5EA414" w14:textId="77777777" w:rsidR="00741C33" w:rsidRPr="00793085" w:rsidRDefault="00741C33">
      <w:pPr>
        <w:rPr>
          <w:rFonts w:ascii="Arial" w:hAnsi="Arial" w:cs="Arial"/>
        </w:rPr>
      </w:pPr>
    </w:p>
    <w:sectPr w:rsidR="00741C33" w:rsidRPr="0079308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7AD9B" w14:textId="77777777" w:rsidR="00985783" w:rsidRDefault="00985783" w:rsidP="006D7706">
      <w:pPr>
        <w:spacing w:after="0" w:line="240" w:lineRule="auto"/>
      </w:pPr>
      <w:r>
        <w:separator/>
      </w:r>
    </w:p>
  </w:endnote>
  <w:endnote w:type="continuationSeparator" w:id="0">
    <w:p w14:paraId="70D5246C" w14:textId="77777777" w:rsidR="00985783" w:rsidRDefault="00985783" w:rsidP="006D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730581"/>
      <w:docPartObj>
        <w:docPartGallery w:val="Page Numbers (Bottom of Page)"/>
        <w:docPartUnique/>
      </w:docPartObj>
    </w:sdtPr>
    <w:sdtEndPr>
      <w:rPr>
        <w:noProof/>
      </w:rPr>
    </w:sdtEndPr>
    <w:sdtContent>
      <w:p w14:paraId="09BC6214" w14:textId="1D4F3265" w:rsidR="005B2320" w:rsidRDefault="005B232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500DA" w14:textId="77777777" w:rsidR="006D7706" w:rsidRDefault="006D7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9369" w14:textId="77777777" w:rsidR="00985783" w:rsidRDefault="00985783" w:rsidP="006D7706">
      <w:pPr>
        <w:spacing w:after="0" w:line="240" w:lineRule="auto"/>
      </w:pPr>
      <w:r>
        <w:separator/>
      </w:r>
    </w:p>
  </w:footnote>
  <w:footnote w:type="continuationSeparator" w:id="0">
    <w:p w14:paraId="520DC7F6" w14:textId="77777777" w:rsidR="00985783" w:rsidRDefault="00985783" w:rsidP="006D77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58A0"/>
    <w:multiLevelType w:val="multilevel"/>
    <w:tmpl w:val="26A010EE"/>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332DFD"/>
    <w:multiLevelType w:val="multilevel"/>
    <w:tmpl w:val="FF3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AE5812"/>
    <w:multiLevelType w:val="multilevel"/>
    <w:tmpl w:val="D82C9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085"/>
    <w:rsid w:val="00240C59"/>
    <w:rsid w:val="005B2320"/>
    <w:rsid w:val="006D7706"/>
    <w:rsid w:val="00741C33"/>
    <w:rsid w:val="00793085"/>
    <w:rsid w:val="00985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4147"/>
  <w15:chartTrackingRefBased/>
  <w15:docId w15:val="{21A762A2-A746-470C-B754-A5B0BF5CE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308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308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930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93085"/>
    <w:rPr>
      <w:i/>
      <w:iCs/>
    </w:rPr>
  </w:style>
  <w:style w:type="character" w:customStyle="1" w:styleId="apple-converted-space">
    <w:name w:val="apple-converted-space"/>
    <w:basedOn w:val="DefaultParagraphFont"/>
    <w:rsid w:val="00793085"/>
  </w:style>
  <w:style w:type="character" w:styleId="Hyperlink">
    <w:name w:val="Hyperlink"/>
    <w:basedOn w:val="DefaultParagraphFont"/>
    <w:uiPriority w:val="99"/>
    <w:semiHidden/>
    <w:unhideWhenUsed/>
    <w:rsid w:val="00793085"/>
    <w:rPr>
      <w:color w:val="0000FF"/>
      <w:u w:val="single"/>
    </w:rPr>
  </w:style>
  <w:style w:type="paragraph" w:styleId="Header">
    <w:name w:val="header"/>
    <w:basedOn w:val="Normal"/>
    <w:link w:val="HeaderChar"/>
    <w:uiPriority w:val="99"/>
    <w:unhideWhenUsed/>
    <w:rsid w:val="006D7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706"/>
  </w:style>
  <w:style w:type="paragraph" w:styleId="Footer">
    <w:name w:val="footer"/>
    <w:basedOn w:val="Normal"/>
    <w:link w:val="FooterChar"/>
    <w:uiPriority w:val="99"/>
    <w:unhideWhenUsed/>
    <w:rsid w:val="006D7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706"/>
  </w:style>
  <w:style w:type="paragraph" w:styleId="BalloonText">
    <w:name w:val="Balloon Text"/>
    <w:basedOn w:val="Normal"/>
    <w:link w:val="BalloonTextChar"/>
    <w:uiPriority w:val="99"/>
    <w:semiHidden/>
    <w:unhideWhenUsed/>
    <w:rsid w:val="006D77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7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40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dlaw.co.uk/law/employment/redundancy_rights/50016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ilii.org/ew/cases/EWCA/Civ/2004/66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findlaw.co.uk/law/employment/discrimination/8501.html" TargetMode="External"/><Relationship Id="rId4" Type="http://schemas.openxmlformats.org/officeDocument/2006/relationships/webSettings" Target="webSettings.xml"/><Relationship Id="rId9" Type="http://schemas.openxmlformats.org/officeDocument/2006/relationships/hyperlink" Target="http://www.opsi.gov.uk/si/si2006/2006103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Gent</dc:creator>
  <cp:keywords/>
  <dc:description/>
  <cp:lastModifiedBy>Ian Pfluger</cp:lastModifiedBy>
  <cp:revision>4</cp:revision>
  <cp:lastPrinted>2016-03-05T17:18:00Z</cp:lastPrinted>
  <dcterms:created xsi:type="dcterms:W3CDTF">2016-03-05T15:19:00Z</dcterms:created>
  <dcterms:modified xsi:type="dcterms:W3CDTF">2021-08-24T10:52:00Z</dcterms:modified>
</cp:coreProperties>
</file>