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4D150" w14:textId="77777777" w:rsidR="00793085" w:rsidRPr="0064111A" w:rsidRDefault="00793085" w:rsidP="00793085">
      <w:pPr>
        <w:shd w:val="clear" w:color="auto" w:fill="FFFFFF"/>
        <w:spacing w:after="240" w:line="330" w:lineRule="atLeast"/>
        <w:jc w:val="center"/>
        <w:outlineLvl w:val="2"/>
        <w:rPr>
          <w:rFonts w:ascii="Arial" w:eastAsia="Times New Roman" w:hAnsi="Arial" w:cs="Arial"/>
          <w:b/>
          <w:bCs/>
          <w:sz w:val="32"/>
          <w:szCs w:val="32"/>
          <w:u w:val="single"/>
          <w:lang w:eastAsia="en-GB"/>
        </w:rPr>
      </w:pPr>
      <w:r w:rsidRPr="00793085">
        <w:rPr>
          <w:rFonts w:ascii="Arial" w:eastAsia="Times New Roman" w:hAnsi="Arial" w:cs="Arial"/>
          <w:b/>
          <w:bCs/>
          <w:sz w:val="32"/>
          <w:szCs w:val="32"/>
          <w:u w:val="single"/>
          <w:lang w:eastAsia="en-GB"/>
        </w:rPr>
        <w:t>S</w:t>
      </w:r>
      <w:r w:rsidRPr="0064111A">
        <w:rPr>
          <w:rFonts w:ascii="Arial" w:eastAsia="Times New Roman" w:hAnsi="Arial" w:cs="Arial"/>
          <w:b/>
          <w:bCs/>
          <w:sz w:val="32"/>
          <w:szCs w:val="32"/>
          <w:u w:val="single"/>
          <w:lang w:eastAsia="en-GB"/>
        </w:rPr>
        <w:t>ix potentially fa</w:t>
      </w:r>
      <w:r w:rsidRPr="00793085">
        <w:rPr>
          <w:rFonts w:ascii="Arial" w:eastAsia="Times New Roman" w:hAnsi="Arial" w:cs="Arial"/>
          <w:b/>
          <w:bCs/>
          <w:sz w:val="32"/>
          <w:szCs w:val="32"/>
          <w:u w:val="single"/>
          <w:lang w:eastAsia="en-GB"/>
        </w:rPr>
        <w:t>i</w:t>
      </w:r>
      <w:r w:rsidRPr="0064111A">
        <w:rPr>
          <w:rFonts w:ascii="Arial" w:eastAsia="Times New Roman" w:hAnsi="Arial" w:cs="Arial"/>
          <w:b/>
          <w:bCs/>
          <w:sz w:val="32"/>
          <w:szCs w:val="32"/>
          <w:u w:val="single"/>
          <w:lang w:eastAsia="en-GB"/>
        </w:rPr>
        <w:t>r reasons for dismissal</w:t>
      </w:r>
    </w:p>
    <w:p w14:paraId="397EE1CC" w14:textId="77777777" w:rsidR="00793085" w:rsidRPr="00793085" w:rsidRDefault="00793085" w:rsidP="00793085">
      <w:pPr>
        <w:shd w:val="clear" w:color="auto" w:fill="FFFFFF"/>
        <w:spacing w:after="0" w:line="360" w:lineRule="auto"/>
        <w:jc w:val="both"/>
        <w:rPr>
          <w:rFonts w:ascii="Arial" w:eastAsia="Times New Roman" w:hAnsi="Arial" w:cs="Arial"/>
          <w:b/>
          <w:sz w:val="28"/>
          <w:szCs w:val="28"/>
          <w:lang w:eastAsia="en-GB"/>
        </w:rPr>
      </w:pPr>
      <w:r w:rsidRPr="00793085">
        <w:rPr>
          <w:rFonts w:ascii="Arial" w:eastAsia="Times New Roman" w:hAnsi="Arial" w:cs="Arial"/>
          <w:b/>
          <w:sz w:val="28"/>
          <w:szCs w:val="28"/>
          <w:lang w:eastAsia="en-GB"/>
        </w:rPr>
        <w:t>Reasons:</w:t>
      </w:r>
    </w:p>
    <w:p w14:paraId="53A932FD" w14:textId="77777777" w:rsidR="00793085" w:rsidRPr="00793085" w:rsidRDefault="00793085" w:rsidP="00793085">
      <w:pPr>
        <w:shd w:val="clear" w:color="auto" w:fill="FFFFFF"/>
        <w:spacing w:after="0" w:line="360" w:lineRule="auto"/>
        <w:jc w:val="both"/>
        <w:rPr>
          <w:rFonts w:ascii="Arial" w:eastAsia="Times New Roman" w:hAnsi="Arial" w:cs="Arial"/>
          <w:lang w:eastAsia="en-GB"/>
        </w:rPr>
      </w:pPr>
    </w:p>
    <w:p w14:paraId="1D15F29F" w14:textId="77777777" w:rsidR="00793085" w:rsidRPr="00793085" w:rsidRDefault="00793085" w:rsidP="00793085">
      <w:pPr>
        <w:numPr>
          <w:ilvl w:val="0"/>
          <w:numId w:val="3"/>
        </w:numPr>
        <w:shd w:val="clear" w:color="auto" w:fill="FFFFFF"/>
        <w:spacing w:after="0" w:line="360" w:lineRule="auto"/>
        <w:jc w:val="both"/>
        <w:rPr>
          <w:rFonts w:ascii="Arial" w:eastAsia="Times New Roman" w:hAnsi="Arial" w:cs="Arial"/>
          <w:lang w:eastAsia="en-GB"/>
        </w:rPr>
      </w:pPr>
      <w:r w:rsidRPr="0064111A">
        <w:rPr>
          <w:rFonts w:ascii="Arial" w:eastAsia="Times New Roman" w:hAnsi="Arial" w:cs="Arial"/>
          <w:lang w:eastAsia="en-GB"/>
        </w:rPr>
        <w:t>A reason related to your</w:t>
      </w:r>
      <w:r w:rsidRPr="00793085">
        <w:rPr>
          <w:rFonts w:ascii="Arial" w:eastAsia="Times New Roman" w:hAnsi="Arial" w:cs="Arial"/>
          <w:lang w:eastAsia="en-GB"/>
        </w:rPr>
        <w:t> </w:t>
      </w:r>
      <w:r w:rsidRPr="00793085">
        <w:rPr>
          <w:rFonts w:ascii="Arial" w:eastAsia="Times New Roman" w:hAnsi="Arial" w:cs="Arial"/>
          <w:b/>
          <w:i/>
          <w:iCs/>
          <w:lang w:eastAsia="en-GB"/>
        </w:rPr>
        <w:t>capability</w:t>
      </w:r>
      <w:r w:rsidRPr="00793085">
        <w:rPr>
          <w:rFonts w:ascii="Arial" w:eastAsia="Times New Roman" w:hAnsi="Arial" w:cs="Arial"/>
          <w:b/>
          <w:lang w:eastAsia="en-GB"/>
        </w:rPr>
        <w:t> </w:t>
      </w:r>
      <w:r w:rsidRPr="0064111A">
        <w:rPr>
          <w:rFonts w:ascii="Arial" w:eastAsia="Times New Roman" w:hAnsi="Arial" w:cs="Arial"/>
          <w:lang w:eastAsia="en-GB"/>
        </w:rPr>
        <w:t>or</w:t>
      </w:r>
      <w:r w:rsidRPr="00793085">
        <w:rPr>
          <w:rFonts w:ascii="Arial" w:eastAsia="Times New Roman" w:hAnsi="Arial" w:cs="Arial"/>
          <w:lang w:eastAsia="en-GB"/>
        </w:rPr>
        <w:t> </w:t>
      </w:r>
      <w:r w:rsidRPr="00793085">
        <w:rPr>
          <w:rFonts w:ascii="Arial" w:eastAsia="Times New Roman" w:hAnsi="Arial" w:cs="Arial"/>
          <w:b/>
          <w:i/>
          <w:iCs/>
          <w:lang w:eastAsia="en-GB"/>
        </w:rPr>
        <w:t>lack of qualifications</w:t>
      </w:r>
      <w:r w:rsidRPr="00793085">
        <w:rPr>
          <w:rFonts w:ascii="Arial" w:eastAsia="Times New Roman" w:hAnsi="Arial" w:cs="Arial"/>
          <w:lang w:eastAsia="en-GB"/>
        </w:rPr>
        <w:t> to do the job properly</w:t>
      </w:r>
    </w:p>
    <w:p w14:paraId="6E098803" w14:textId="77777777" w:rsidR="00793085" w:rsidRPr="0064111A" w:rsidRDefault="00793085" w:rsidP="00793085">
      <w:pPr>
        <w:shd w:val="clear" w:color="auto" w:fill="FFFFFF"/>
        <w:spacing w:after="0" w:line="360" w:lineRule="auto"/>
        <w:ind w:left="720"/>
        <w:jc w:val="both"/>
        <w:rPr>
          <w:rFonts w:ascii="Arial" w:eastAsia="Times New Roman" w:hAnsi="Arial" w:cs="Arial"/>
          <w:lang w:eastAsia="en-GB"/>
        </w:rPr>
      </w:pPr>
      <w:r w:rsidRPr="0064111A">
        <w:rPr>
          <w:rFonts w:ascii="Arial" w:eastAsia="Times New Roman" w:hAnsi="Arial" w:cs="Arial"/>
          <w:lang w:eastAsia="en-GB"/>
        </w:rPr>
        <w:t>see ERA sub-section 98(2) (a).</w:t>
      </w:r>
    </w:p>
    <w:p w14:paraId="7EB3DB83" w14:textId="77777777" w:rsidR="00793085" w:rsidRPr="00793085" w:rsidRDefault="00793085" w:rsidP="00793085">
      <w:pPr>
        <w:numPr>
          <w:ilvl w:val="0"/>
          <w:numId w:val="3"/>
        </w:numPr>
        <w:shd w:val="clear" w:color="auto" w:fill="FFFFFF"/>
        <w:spacing w:after="0" w:line="360" w:lineRule="auto"/>
        <w:jc w:val="both"/>
        <w:rPr>
          <w:rFonts w:ascii="Arial" w:eastAsia="Times New Roman" w:hAnsi="Arial" w:cs="Arial"/>
          <w:lang w:eastAsia="en-GB"/>
        </w:rPr>
      </w:pPr>
      <w:r w:rsidRPr="0064111A">
        <w:rPr>
          <w:rFonts w:ascii="Arial" w:eastAsia="Times New Roman" w:hAnsi="Arial" w:cs="Arial"/>
          <w:lang w:eastAsia="en-GB"/>
        </w:rPr>
        <w:t>A reason related to your</w:t>
      </w:r>
      <w:r w:rsidRPr="00793085">
        <w:rPr>
          <w:rFonts w:ascii="Arial" w:eastAsia="Times New Roman" w:hAnsi="Arial" w:cs="Arial"/>
          <w:lang w:eastAsia="en-GB"/>
        </w:rPr>
        <w:t> </w:t>
      </w:r>
      <w:r w:rsidRPr="00793085">
        <w:rPr>
          <w:rFonts w:ascii="Arial" w:eastAsia="Times New Roman" w:hAnsi="Arial" w:cs="Arial"/>
          <w:b/>
          <w:i/>
          <w:iCs/>
          <w:lang w:eastAsia="en-GB"/>
        </w:rPr>
        <w:t>conduct</w:t>
      </w:r>
    </w:p>
    <w:p w14:paraId="54F93DAE" w14:textId="77777777" w:rsidR="00793085" w:rsidRPr="00793085" w:rsidRDefault="00793085" w:rsidP="00793085">
      <w:pPr>
        <w:shd w:val="clear" w:color="auto" w:fill="FFFFFF"/>
        <w:spacing w:after="0" w:line="360" w:lineRule="auto"/>
        <w:ind w:firstLine="720"/>
        <w:jc w:val="both"/>
        <w:rPr>
          <w:rFonts w:ascii="Arial" w:eastAsia="Times New Roman" w:hAnsi="Arial" w:cs="Arial"/>
          <w:lang w:eastAsia="en-GB"/>
        </w:rPr>
      </w:pPr>
      <w:r w:rsidRPr="00793085">
        <w:rPr>
          <w:rFonts w:ascii="Arial" w:eastAsia="Times New Roman" w:hAnsi="Arial" w:cs="Arial"/>
          <w:lang w:eastAsia="en-GB"/>
        </w:rPr>
        <w:t>see ERA sub-section 98(2) (b).</w:t>
      </w:r>
    </w:p>
    <w:p w14:paraId="78C0173F" w14:textId="77777777" w:rsidR="00793085" w:rsidRPr="00793085" w:rsidRDefault="00793085" w:rsidP="00793085">
      <w:pPr>
        <w:numPr>
          <w:ilvl w:val="0"/>
          <w:numId w:val="3"/>
        </w:numPr>
        <w:shd w:val="clear" w:color="auto" w:fill="FFFFFF"/>
        <w:spacing w:after="0" w:line="360" w:lineRule="auto"/>
        <w:jc w:val="both"/>
        <w:rPr>
          <w:rFonts w:ascii="Arial" w:eastAsia="Times New Roman" w:hAnsi="Arial" w:cs="Arial"/>
          <w:lang w:eastAsia="en-GB"/>
        </w:rPr>
      </w:pPr>
      <w:r w:rsidRPr="0064111A">
        <w:rPr>
          <w:rFonts w:ascii="Arial" w:eastAsia="Times New Roman" w:hAnsi="Arial" w:cs="Arial"/>
          <w:lang w:eastAsia="en-GB"/>
        </w:rPr>
        <w:t>Your</w:t>
      </w:r>
      <w:r w:rsidRPr="00793085">
        <w:rPr>
          <w:rFonts w:ascii="Arial" w:eastAsia="Times New Roman" w:hAnsi="Arial" w:cs="Arial"/>
          <w:lang w:eastAsia="en-GB"/>
        </w:rPr>
        <w:t> </w:t>
      </w:r>
      <w:r w:rsidRPr="00793085">
        <w:rPr>
          <w:rFonts w:ascii="Arial" w:eastAsia="Times New Roman" w:hAnsi="Arial" w:cs="Arial"/>
          <w:b/>
          <w:i/>
          <w:iCs/>
          <w:lang w:eastAsia="en-GB"/>
        </w:rPr>
        <w:t>redundancy</w:t>
      </w:r>
    </w:p>
    <w:p w14:paraId="7C48C052" w14:textId="77777777" w:rsidR="00793085" w:rsidRPr="0064111A" w:rsidRDefault="00793085" w:rsidP="00793085">
      <w:pPr>
        <w:shd w:val="clear" w:color="auto" w:fill="FFFFFF"/>
        <w:spacing w:after="0" w:line="360" w:lineRule="auto"/>
        <w:ind w:left="720"/>
        <w:jc w:val="both"/>
        <w:rPr>
          <w:rFonts w:ascii="Arial" w:eastAsia="Times New Roman" w:hAnsi="Arial" w:cs="Arial"/>
          <w:lang w:eastAsia="en-GB"/>
        </w:rPr>
      </w:pPr>
      <w:r w:rsidRPr="0064111A">
        <w:rPr>
          <w:rFonts w:ascii="Arial" w:eastAsia="Times New Roman" w:hAnsi="Arial" w:cs="Arial"/>
          <w:lang w:eastAsia="en-GB"/>
        </w:rPr>
        <w:t>see ERA sub-section 98(2) (c).</w:t>
      </w:r>
    </w:p>
    <w:p w14:paraId="0E07147C" w14:textId="77777777" w:rsidR="00793085" w:rsidRPr="00793085" w:rsidRDefault="00793085" w:rsidP="00793085">
      <w:pPr>
        <w:numPr>
          <w:ilvl w:val="0"/>
          <w:numId w:val="3"/>
        </w:numPr>
        <w:shd w:val="clear" w:color="auto" w:fill="FFFFFF"/>
        <w:spacing w:after="0" w:line="360" w:lineRule="auto"/>
        <w:jc w:val="both"/>
        <w:rPr>
          <w:rFonts w:ascii="Arial" w:eastAsia="Times New Roman" w:hAnsi="Arial" w:cs="Arial"/>
          <w:lang w:eastAsia="en-GB"/>
        </w:rPr>
      </w:pPr>
      <w:r w:rsidRPr="0064111A">
        <w:rPr>
          <w:rFonts w:ascii="Arial" w:eastAsia="Times New Roman" w:hAnsi="Arial" w:cs="Arial"/>
          <w:lang w:eastAsia="en-GB"/>
        </w:rPr>
        <w:t>Some</w:t>
      </w:r>
      <w:r w:rsidRPr="00793085">
        <w:rPr>
          <w:rFonts w:ascii="Arial" w:eastAsia="Times New Roman" w:hAnsi="Arial" w:cs="Arial"/>
          <w:lang w:eastAsia="en-GB"/>
        </w:rPr>
        <w:t> </w:t>
      </w:r>
      <w:r w:rsidRPr="00793085">
        <w:rPr>
          <w:rFonts w:ascii="Arial" w:eastAsia="Times New Roman" w:hAnsi="Arial" w:cs="Arial"/>
          <w:b/>
          <w:i/>
          <w:iCs/>
          <w:lang w:eastAsia="en-GB"/>
        </w:rPr>
        <w:t>legal bar or requirement</w:t>
      </w:r>
      <w:r w:rsidRPr="00793085">
        <w:rPr>
          <w:rFonts w:ascii="Arial" w:eastAsia="Times New Roman" w:hAnsi="Arial" w:cs="Arial"/>
          <w:i/>
          <w:iCs/>
          <w:lang w:eastAsia="en-GB"/>
        </w:rPr>
        <w:t> </w:t>
      </w:r>
      <w:r w:rsidRPr="0064111A">
        <w:rPr>
          <w:rFonts w:ascii="Arial" w:eastAsia="Times New Roman" w:hAnsi="Arial" w:cs="Arial"/>
          <w:lang w:eastAsia="en-GB"/>
        </w:rPr>
        <w:t>means that you cannot continue in your position</w:t>
      </w:r>
    </w:p>
    <w:p w14:paraId="40A994EA" w14:textId="77777777" w:rsidR="00793085" w:rsidRPr="0064111A" w:rsidRDefault="00793085" w:rsidP="00793085">
      <w:pPr>
        <w:shd w:val="clear" w:color="auto" w:fill="FFFFFF"/>
        <w:spacing w:after="0" w:line="360" w:lineRule="auto"/>
        <w:ind w:left="720"/>
        <w:jc w:val="both"/>
        <w:rPr>
          <w:rFonts w:ascii="Arial" w:eastAsia="Times New Roman" w:hAnsi="Arial" w:cs="Arial"/>
          <w:lang w:eastAsia="en-GB"/>
        </w:rPr>
      </w:pPr>
      <w:r w:rsidRPr="0064111A">
        <w:rPr>
          <w:rFonts w:ascii="Arial" w:eastAsia="Times New Roman" w:hAnsi="Arial" w:cs="Arial"/>
          <w:lang w:eastAsia="en-GB"/>
        </w:rPr>
        <w:t>see ERA sub-section 98(2) (d).</w:t>
      </w:r>
    </w:p>
    <w:p w14:paraId="44C2B3DE" w14:textId="77777777" w:rsidR="00793085" w:rsidRPr="00793085" w:rsidRDefault="00793085" w:rsidP="00793085">
      <w:pPr>
        <w:numPr>
          <w:ilvl w:val="0"/>
          <w:numId w:val="3"/>
        </w:numPr>
        <w:shd w:val="clear" w:color="auto" w:fill="FFFFFF"/>
        <w:spacing w:after="0" w:line="360" w:lineRule="auto"/>
        <w:jc w:val="both"/>
        <w:rPr>
          <w:rFonts w:ascii="Arial" w:eastAsia="Times New Roman" w:hAnsi="Arial" w:cs="Arial"/>
          <w:lang w:eastAsia="en-GB"/>
        </w:rPr>
      </w:pPr>
      <w:r w:rsidRPr="0064111A">
        <w:rPr>
          <w:rFonts w:ascii="Arial" w:eastAsia="Times New Roman" w:hAnsi="Arial" w:cs="Arial"/>
          <w:lang w:eastAsia="en-GB"/>
        </w:rPr>
        <w:t>Your</w:t>
      </w:r>
      <w:r w:rsidRPr="00793085">
        <w:rPr>
          <w:rFonts w:ascii="Arial" w:eastAsia="Times New Roman" w:hAnsi="Arial" w:cs="Arial"/>
          <w:lang w:eastAsia="en-GB"/>
        </w:rPr>
        <w:t> </w:t>
      </w:r>
      <w:r w:rsidRPr="00793085">
        <w:rPr>
          <w:rFonts w:ascii="Arial" w:eastAsia="Times New Roman" w:hAnsi="Arial" w:cs="Arial"/>
          <w:b/>
          <w:i/>
          <w:iCs/>
          <w:lang w:eastAsia="en-GB"/>
        </w:rPr>
        <w:t>retiremen</w:t>
      </w:r>
      <w:r w:rsidRPr="00793085">
        <w:rPr>
          <w:rFonts w:ascii="Arial" w:eastAsia="Times New Roman" w:hAnsi="Arial" w:cs="Arial"/>
          <w:i/>
          <w:iCs/>
          <w:lang w:eastAsia="en-GB"/>
        </w:rPr>
        <w:t>t</w:t>
      </w:r>
    </w:p>
    <w:p w14:paraId="7C7B23D6" w14:textId="77777777" w:rsidR="00793085" w:rsidRPr="0064111A" w:rsidRDefault="00793085" w:rsidP="00793085">
      <w:pPr>
        <w:shd w:val="clear" w:color="auto" w:fill="FFFFFF"/>
        <w:spacing w:after="0" w:line="360" w:lineRule="auto"/>
        <w:ind w:left="360" w:firstLine="360"/>
        <w:jc w:val="both"/>
        <w:rPr>
          <w:rFonts w:ascii="Arial" w:eastAsia="Times New Roman" w:hAnsi="Arial" w:cs="Arial"/>
          <w:lang w:eastAsia="en-GB"/>
        </w:rPr>
      </w:pPr>
      <w:r w:rsidRPr="0064111A">
        <w:rPr>
          <w:rFonts w:ascii="Arial" w:eastAsia="Times New Roman" w:hAnsi="Arial" w:cs="Arial"/>
          <w:lang w:eastAsia="en-GB"/>
        </w:rPr>
        <w:t>see ERA sub-section 98(2) (</w:t>
      </w:r>
      <w:proofErr w:type="spellStart"/>
      <w:r w:rsidRPr="0064111A">
        <w:rPr>
          <w:rFonts w:ascii="Arial" w:eastAsia="Times New Roman" w:hAnsi="Arial" w:cs="Arial"/>
          <w:lang w:eastAsia="en-GB"/>
        </w:rPr>
        <w:t>ba</w:t>
      </w:r>
      <w:proofErr w:type="spellEnd"/>
      <w:r w:rsidRPr="0064111A">
        <w:rPr>
          <w:rFonts w:ascii="Arial" w:eastAsia="Times New Roman" w:hAnsi="Arial" w:cs="Arial"/>
          <w:lang w:eastAsia="en-GB"/>
        </w:rPr>
        <w:t>).</w:t>
      </w:r>
    </w:p>
    <w:p w14:paraId="1B1AC0EE" w14:textId="77777777" w:rsidR="00793085" w:rsidRPr="00793085" w:rsidRDefault="00793085" w:rsidP="00793085">
      <w:pPr>
        <w:numPr>
          <w:ilvl w:val="0"/>
          <w:numId w:val="3"/>
        </w:numPr>
        <w:shd w:val="clear" w:color="auto" w:fill="FFFFFF"/>
        <w:spacing w:after="0" w:line="360" w:lineRule="auto"/>
        <w:jc w:val="both"/>
        <w:rPr>
          <w:rFonts w:ascii="Arial" w:eastAsia="Times New Roman" w:hAnsi="Arial" w:cs="Arial"/>
          <w:lang w:eastAsia="en-GB"/>
        </w:rPr>
      </w:pPr>
      <w:r w:rsidRPr="0064111A">
        <w:rPr>
          <w:rFonts w:ascii="Arial" w:eastAsia="Times New Roman" w:hAnsi="Arial" w:cs="Arial"/>
          <w:lang w:eastAsia="en-GB"/>
        </w:rPr>
        <w:t>There was</w:t>
      </w:r>
      <w:r w:rsidRPr="00793085">
        <w:rPr>
          <w:rFonts w:ascii="Arial" w:eastAsia="Times New Roman" w:hAnsi="Arial" w:cs="Arial"/>
          <w:lang w:eastAsia="en-GB"/>
        </w:rPr>
        <w:t> </w:t>
      </w:r>
      <w:r w:rsidRPr="00793085">
        <w:rPr>
          <w:rFonts w:ascii="Arial" w:eastAsia="Times New Roman" w:hAnsi="Arial" w:cs="Arial"/>
          <w:b/>
          <w:i/>
          <w:iCs/>
          <w:lang w:eastAsia="en-GB"/>
        </w:rPr>
        <w:t>some other substantial reason</w:t>
      </w:r>
      <w:r w:rsidRPr="00793085">
        <w:rPr>
          <w:rFonts w:ascii="Arial" w:eastAsia="Times New Roman" w:hAnsi="Arial" w:cs="Arial"/>
          <w:lang w:eastAsia="en-GB"/>
        </w:rPr>
        <w:t> </w:t>
      </w:r>
      <w:r w:rsidRPr="0064111A">
        <w:rPr>
          <w:rFonts w:ascii="Arial" w:eastAsia="Times New Roman" w:hAnsi="Arial" w:cs="Arial"/>
          <w:lang w:eastAsia="en-GB"/>
        </w:rPr>
        <w:t>that could justify the dismissal of an employee holding the position which you held</w:t>
      </w:r>
    </w:p>
    <w:p w14:paraId="6C682B6C" w14:textId="77777777" w:rsidR="00793085" w:rsidRPr="00793085" w:rsidRDefault="00793085" w:rsidP="00793085">
      <w:pPr>
        <w:shd w:val="clear" w:color="auto" w:fill="FFFFFF"/>
        <w:spacing w:after="0" w:line="360" w:lineRule="auto"/>
        <w:ind w:left="360" w:firstLine="360"/>
        <w:jc w:val="both"/>
        <w:rPr>
          <w:rFonts w:ascii="Arial" w:eastAsia="Times New Roman" w:hAnsi="Arial" w:cs="Arial"/>
          <w:lang w:eastAsia="en-GB"/>
        </w:rPr>
      </w:pPr>
      <w:r w:rsidRPr="0064111A">
        <w:rPr>
          <w:rFonts w:ascii="Arial" w:eastAsia="Times New Roman" w:hAnsi="Arial" w:cs="Arial"/>
          <w:lang w:eastAsia="en-GB"/>
        </w:rPr>
        <w:t>see ERA sub-section 98(1) (b).</w:t>
      </w:r>
    </w:p>
    <w:p w14:paraId="7356BA94" w14:textId="77777777" w:rsidR="00793085" w:rsidRPr="00793085" w:rsidRDefault="00793085" w:rsidP="00793085">
      <w:pPr>
        <w:shd w:val="clear" w:color="auto" w:fill="FFFFFF"/>
        <w:spacing w:after="240" w:line="330" w:lineRule="atLeast"/>
        <w:jc w:val="both"/>
        <w:outlineLvl w:val="2"/>
        <w:rPr>
          <w:rFonts w:ascii="Arial" w:eastAsia="Times New Roman" w:hAnsi="Arial" w:cs="Arial"/>
          <w:b/>
          <w:bCs/>
          <w:lang w:eastAsia="en-GB"/>
        </w:rPr>
      </w:pPr>
    </w:p>
    <w:p w14:paraId="6140B2C7" w14:textId="77777777" w:rsidR="00793085" w:rsidRPr="00793085" w:rsidRDefault="00793085" w:rsidP="00793085">
      <w:pPr>
        <w:shd w:val="clear" w:color="auto" w:fill="FFFFFF"/>
        <w:spacing w:after="240" w:line="330" w:lineRule="atLeast"/>
        <w:jc w:val="both"/>
        <w:outlineLvl w:val="2"/>
        <w:rPr>
          <w:rFonts w:ascii="Arial" w:eastAsia="Times New Roman" w:hAnsi="Arial" w:cs="Arial"/>
          <w:b/>
          <w:bCs/>
          <w:sz w:val="28"/>
          <w:szCs w:val="28"/>
          <w:lang w:eastAsia="en-GB"/>
        </w:rPr>
      </w:pPr>
      <w:r w:rsidRPr="00793085">
        <w:rPr>
          <w:rFonts w:ascii="Arial" w:eastAsia="Times New Roman" w:hAnsi="Arial" w:cs="Arial"/>
          <w:b/>
          <w:bCs/>
          <w:sz w:val="28"/>
          <w:szCs w:val="28"/>
          <w:lang w:eastAsia="en-GB"/>
        </w:rPr>
        <w:t>Scope of the six potentially fair reasons</w:t>
      </w:r>
    </w:p>
    <w:p w14:paraId="0A17759B" w14:textId="77777777" w:rsidR="00793085" w:rsidRPr="00793085" w:rsidRDefault="00793085" w:rsidP="00793085">
      <w:pPr>
        <w:shd w:val="clear" w:color="auto" w:fill="FFFFFF"/>
        <w:spacing w:after="240" w:line="330" w:lineRule="atLeast"/>
        <w:jc w:val="both"/>
        <w:rPr>
          <w:rFonts w:ascii="Arial" w:eastAsia="Times New Roman" w:hAnsi="Arial" w:cs="Arial"/>
          <w:lang w:eastAsia="en-GB"/>
        </w:rPr>
      </w:pPr>
      <w:r w:rsidRPr="00793085">
        <w:rPr>
          <w:rFonts w:ascii="Arial" w:eastAsia="Times New Roman" w:hAnsi="Arial" w:cs="Arial"/>
          <w:i/>
          <w:iCs/>
          <w:lang w:eastAsia="en-GB"/>
        </w:rPr>
        <w:t xml:space="preserve">1. </w:t>
      </w:r>
      <w:r w:rsidRPr="00793085">
        <w:rPr>
          <w:rFonts w:ascii="Arial" w:eastAsia="Times New Roman" w:hAnsi="Arial" w:cs="Arial"/>
          <w:b/>
          <w:i/>
          <w:iCs/>
          <w:lang w:eastAsia="en-GB"/>
        </w:rPr>
        <w:t>Incapability / lack of qualifications</w:t>
      </w:r>
    </w:p>
    <w:p w14:paraId="410771B5" w14:textId="77777777" w:rsidR="00793085" w:rsidRPr="00793085" w:rsidRDefault="00793085" w:rsidP="00793085">
      <w:pPr>
        <w:shd w:val="clear" w:color="auto" w:fill="FFFFFF"/>
        <w:spacing w:after="240" w:line="330" w:lineRule="atLeast"/>
        <w:jc w:val="both"/>
        <w:rPr>
          <w:rFonts w:ascii="Arial" w:eastAsia="Times New Roman" w:hAnsi="Arial" w:cs="Arial"/>
          <w:lang w:eastAsia="en-GB"/>
        </w:rPr>
      </w:pPr>
      <w:r w:rsidRPr="00793085">
        <w:rPr>
          <w:rFonts w:ascii="Arial" w:eastAsia="Times New Roman" w:hAnsi="Arial" w:cs="Arial"/>
          <w:lang w:eastAsia="en-GB"/>
        </w:rPr>
        <w:t>Under ERA sub-section 98(2) (a), your incapability or lack of qualifications must relate to the work you’re employed to do for it to qualify as a potentially fair reason for dismissal.</w:t>
      </w:r>
    </w:p>
    <w:p w14:paraId="55A201A6" w14:textId="77777777" w:rsidR="00793085" w:rsidRPr="00793085" w:rsidRDefault="00793085" w:rsidP="00793085">
      <w:pPr>
        <w:shd w:val="clear" w:color="auto" w:fill="FFFFFF"/>
        <w:spacing w:after="240" w:line="330" w:lineRule="atLeast"/>
        <w:jc w:val="both"/>
        <w:rPr>
          <w:rFonts w:ascii="Arial" w:eastAsia="Times New Roman" w:hAnsi="Arial" w:cs="Arial"/>
          <w:lang w:eastAsia="en-GB"/>
        </w:rPr>
      </w:pPr>
      <w:r w:rsidRPr="00793085">
        <w:rPr>
          <w:rFonts w:ascii="Arial" w:eastAsia="Times New Roman" w:hAnsi="Arial" w:cs="Arial"/>
          <w:lang w:eastAsia="en-GB"/>
        </w:rPr>
        <w:t>Moreover, before dismissing you your employer should normally meet with you, warn you about your standard of work and give you a chance to improve. This may mean your employer needs to give you more training (e.g., on how to use a recently introduced computerised system) or other support.</w:t>
      </w:r>
    </w:p>
    <w:p w14:paraId="43260F6D" w14:textId="77777777" w:rsidR="00793085" w:rsidRPr="00793085" w:rsidRDefault="00793085" w:rsidP="00793085">
      <w:pPr>
        <w:shd w:val="clear" w:color="auto" w:fill="FFFFFF"/>
        <w:spacing w:after="240" w:line="330" w:lineRule="atLeast"/>
        <w:jc w:val="both"/>
        <w:rPr>
          <w:rFonts w:ascii="Arial" w:eastAsia="Times New Roman" w:hAnsi="Arial" w:cs="Arial"/>
          <w:lang w:eastAsia="en-GB"/>
        </w:rPr>
      </w:pPr>
      <w:r w:rsidRPr="00793085">
        <w:rPr>
          <w:rFonts w:ascii="Arial" w:eastAsia="Times New Roman" w:hAnsi="Arial" w:cs="Arial"/>
          <w:lang w:eastAsia="en-GB"/>
        </w:rPr>
        <w:t>At a minimum, you have a right to be accompanied by a colleague or employee representative (e.g., a trade union official) at the meeting.</w:t>
      </w:r>
    </w:p>
    <w:p w14:paraId="262AA570" w14:textId="77777777" w:rsidR="00793085" w:rsidRPr="00793085" w:rsidRDefault="00793085" w:rsidP="00793085">
      <w:pPr>
        <w:shd w:val="clear" w:color="auto" w:fill="FFFFFF"/>
        <w:spacing w:after="240" w:line="330" w:lineRule="atLeast"/>
        <w:jc w:val="both"/>
        <w:rPr>
          <w:rFonts w:ascii="Arial" w:eastAsia="Times New Roman" w:hAnsi="Arial" w:cs="Arial"/>
          <w:lang w:eastAsia="en-GB"/>
        </w:rPr>
      </w:pPr>
      <w:r w:rsidRPr="00793085">
        <w:rPr>
          <w:rFonts w:ascii="Arial" w:eastAsia="Times New Roman" w:hAnsi="Arial" w:cs="Arial"/>
          <w:lang w:eastAsia="en-GB"/>
        </w:rPr>
        <w:t>Your employer should also clearly set out in writing the problem, the degree of improvement required, the timescale for improvement, the support available, and a review date.</w:t>
      </w:r>
    </w:p>
    <w:p w14:paraId="4D196F30" w14:textId="77777777" w:rsidR="00793085" w:rsidRPr="00793085" w:rsidRDefault="00793085" w:rsidP="00793085">
      <w:pPr>
        <w:shd w:val="clear" w:color="auto" w:fill="FFFFFF"/>
        <w:spacing w:after="240" w:line="330" w:lineRule="atLeast"/>
        <w:jc w:val="both"/>
        <w:rPr>
          <w:rFonts w:ascii="Arial" w:eastAsia="Times New Roman" w:hAnsi="Arial" w:cs="Arial"/>
          <w:lang w:eastAsia="en-GB"/>
        </w:rPr>
      </w:pPr>
      <w:r w:rsidRPr="00793085">
        <w:rPr>
          <w:rFonts w:ascii="Arial" w:eastAsia="Times New Roman" w:hAnsi="Arial" w:cs="Arial"/>
          <w:lang w:eastAsia="en-GB"/>
        </w:rPr>
        <w:t>The review date should be set so that you have a reasonable opportunity to improve before any action is taken.</w:t>
      </w:r>
    </w:p>
    <w:p w14:paraId="63CB5270" w14:textId="77777777" w:rsidR="00793085" w:rsidRPr="00793085" w:rsidRDefault="00793085" w:rsidP="00793085">
      <w:pPr>
        <w:shd w:val="clear" w:color="auto" w:fill="FFFFFF"/>
        <w:spacing w:after="240" w:line="330" w:lineRule="atLeast"/>
        <w:jc w:val="both"/>
        <w:rPr>
          <w:rFonts w:ascii="Arial" w:eastAsia="Times New Roman" w:hAnsi="Arial" w:cs="Arial"/>
          <w:lang w:eastAsia="en-GB"/>
        </w:rPr>
      </w:pPr>
      <w:r w:rsidRPr="00793085">
        <w:rPr>
          <w:rFonts w:ascii="Arial" w:eastAsia="Times New Roman" w:hAnsi="Arial" w:cs="Arial"/>
          <w:lang w:eastAsia="en-GB"/>
        </w:rPr>
        <w:lastRenderedPageBreak/>
        <w:t>Interestingly, a potentially fair dismissal on the ground of incapability extends not only to incompetence and inherent inability to do the job but also to debilitating sickness and illness — even where it has been caused by the employer.</w:t>
      </w:r>
    </w:p>
    <w:p w14:paraId="0A266FE7" w14:textId="77777777" w:rsidR="00793085" w:rsidRPr="00793085" w:rsidRDefault="00793085" w:rsidP="00793085">
      <w:pPr>
        <w:shd w:val="clear" w:color="auto" w:fill="FFFFFF"/>
        <w:spacing w:after="240" w:line="330" w:lineRule="atLeast"/>
        <w:jc w:val="both"/>
        <w:rPr>
          <w:rFonts w:ascii="Arial" w:eastAsia="Times New Roman" w:hAnsi="Arial" w:cs="Arial"/>
          <w:lang w:eastAsia="en-GB"/>
        </w:rPr>
      </w:pPr>
      <w:r w:rsidRPr="00793085">
        <w:rPr>
          <w:rFonts w:ascii="Arial" w:eastAsia="Times New Roman" w:hAnsi="Arial" w:cs="Arial"/>
          <w:lang w:eastAsia="en-GB"/>
        </w:rPr>
        <w:t>For a dismissal in this instance, however, your employer will need to tread very, very carefully. Your employer should allow a reasonable amount of time for you to recover from your illness. The actual amount will depend on things like:</w:t>
      </w:r>
    </w:p>
    <w:p w14:paraId="7F9FA2E4" w14:textId="77777777" w:rsidR="00793085" w:rsidRPr="00793085" w:rsidRDefault="00793085" w:rsidP="00793085">
      <w:pPr>
        <w:numPr>
          <w:ilvl w:val="0"/>
          <w:numId w:val="1"/>
        </w:numPr>
        <w:shd w:val="clear" w:color="auto" w:fill="FFFFFF"/>
        <w:spacing w:before="100" w:beforeAutospacing="1" w:after="100" w:afterAutospacing="1" w:line="330" w:lineRule="atLeast"/>
        <w:ind w:left="0"/>
        <w:jc w:val="both"/>
        <w:rPr>
          <w:rFonts w:ascii="Arial" w:eastAsia="Times New Roman" w:hAnsi="Arial" w:cs="Arial"/>
          <w:lang w:eastAsia="en-GB"/>
        </w:rPr>
      </w:pPr>
      <w:r w:rsidRPr="00793085">
        <w:rPr>
          <w:rFonts w:ascii="Arial" w:eastAsia="Times New Roman" w:hAnsi="Arial" w:cs="Arial"/>
          <w:lang w:eastAsia="en-GB"/>
        </w:rPr>
        <w:t>the nature and likely duration of your illness (with some conditions, like broken bones, it might be clear how long it will take but with something like stress it can be uncertain);</w:t>
      </w:r>
    </w:p>
    <w:p w14:paraId="2A390AF4" w14:textId="77777777" w:rsidR="00793085" w:rsidRPr="00793085" w:rsidRDefault="00793085" w:rsidP="00793085">
      <w:pPr>
        <w:numPr>
          <w:ilvl w:val="0"/>
          <w:numId w:val="1"/>
        </w:numPr>
        <w:shd w:val="clear" w:color="auto" w:fill="FFFFFF"/>
        <w:spacing w:before="100" w:beforeAutospacing="1" w:after="100" w:afterAutospacing="1" w:line="330" w:lineRule="atLeast"/>
        <w:ind w:left="0"/>
        <w:jc w:val="both"/>
        <w:rPr>
          <w:rFonts w:ascii="Arial" w:eastAsia="Times New Roman" w:hAnsi="Arial" w:cs="Arial"/>
          <w:lang w:eastAsia="en-GB"/>
        </w:rPr>
      </w:pPr>
      <w:r w:rsidRPr="00793085">
        <w:rPr>
          <w:rFonts w:ascii="Arial" w:eastAsia="Times New Roman" w:hAnsi="Arial" w:cs="Arial"/>
          <w:lang w:eastAsia="en-GB"/>
        </w:rPr>
        <w:t>whether your employer is responsible for the incapacity (in which case it may be expected to go the extra mile to find you alternative employment);</w:t>
      </w:r>
    </w:p>
    <w:p w14:paraId="6965EB82" w14:textId="77777777" w:rsidR="00793085" w:rsidRPr="00793085" w:rsidRDefault="00793085" w:rsidP="00793085">
      <w:pPr>
        <w:numPr>
          <w:ilvl w:val="0"/>
          <w:numId w:val="1"/>
        </w:numPr>
        <w:shd w:val="clear" w:color="auto" w:fill="FFFFFF"/>
        <w:spacing w:before="100" w:beforeAutospacing="1" w:after="100" w:afterAutospacing="1" w:line="330" w:lineRule="atLeast"/>
        <w:ind w:left="0"/>
        <w:jc w:val="both"/>
        <w:rPr>
          <w:rFonts w:ascii="Arial" w:eastAsia="Times New Roman" w:hAnsi="Arial" w:cs="Arial"/>
          <w:lang w:eastAsia="en-GB"/>
        </w:rPr>
      </w:pPr>
      <w:r w:rsidRPr="00793085">
        <w:rPr>
          <w:rFonts w:ascii="Arial" w:eastAsia="Times New Roman" w:hAnsi="Arial" w:cs="Arial"/>
          <w:lang w:eastAsia="en-GB"/>
        </w:rPr>
        <w:t>how easy it is to get cover for your job;</w:t>
      </w:r>
    </w:p>
    <w:p w14:paraId="0608D543" w14:textId="77777777" w:rsidR="00793085" w:rsidRPr="00793085" w:rsidRDefault="00793085" w:rsidP="00793085">
      <w:pPr>
        <w:numPr>
          <w:ilvl w:val="0"/>
          <w:numId w:val="1"/>
        </w:numPr>
        <w:shd w:val="clear" w:color="auto" w:fill="FFFFFF"/>
        <w:spacing w:before="100" w:beforeAutospacing="1" w:after="100" w:afterAutospacing="1" w:line="330" w:lineRule="atLeast"/>
        <w:ind w:left="0"/>
        <w:jc w:val="both"/>
        <w:rPr>
          <w:rFonts w:ascii="Arial" w:eastAsia="Times New Roman" w:hAnsi="Arial" w:cs="Arial"/>
          <w:lang w:eastAsia="en-GB"/>
        </w:rPr>
      </w:pPr>
      <w:r w:rsidRPr="00793085">
        <w:rPr>
          <w:rFonts w:ascii="Arial" w:eastAsia="Times New Roman" w:hAnsi="Arial" w:cs="Arial"/>
          <w:lang w:eastAsia="en-GB"/>
        </w:rPr>
        <w:t>whether your job can be kept open;</w:t>
      </w:r>
    </w:p>
    <w:p w14:paraId="1BEA288F" w14:textId="77777777" w:rsidR="00793085" w:rsidRPr="00793085" w:rsidRDefault="00793085" w:rsidP="00793085">
      <w:pPr>
        <w:numPr>
          <w:ilvl w:val="0"/>
          <w:numId w:val="1"/>
        </w:numPr>
        <w:shd w:val="clear" w:color="auto" w:fill="FFFFFF"/>
        <w:spacing w:before="100" w:beforeAutospacing="1" w:after="100" w:afterAutospacing="1" w:line="330" w:lineRule="atLeast"/>
        <w:ind w:left="0"/>
        <w:jc w:val="both"/>
        <w:rPr>
          <w:rFonts w:ascii="Arial" w:eastAsia="Times New Roman" w:hAnsi="Arial" w:cs="Arial"/>
          <w:lang w:eastAsia="en-GB"/>
        </w:rPr>
      </w:pPr>
      <w:r w:rsidRPr="00793085">
        <w:rPr>
          <w:rFonts w:ascii="Arial" w:eastAsia="Times New Roman" w:hAnsi="Arial" w:cs="Arial"/>
          <w:lang w:eastAsia="en-GB"/>
        </w:rPr>
        <w:t>whether the illness could be classed as a ‘disability’ (in which case your employer has a legal duty under the Equality Act to make ‘reasonable adjustments’ to find a way round the problem).</w:t>
      </w:r>
    </w:p>
    <w:p w14:paraId="0122B8CA" w14:textId="77777777" w:rsidR="00793085" w:rsidRPr="00793085" w:rsidRDefault="00793085" w:rsidP="00793085">
      <w:pPr>
        <w:shd w:val="clear" w:color="auto" w:fill="FFFFFF"/>
        <w:spacing w:after="240" w:line="330" w:lineRule="atLeast"/>
        <w:jc w:val="both"/>
        <w:rPr>
          <w:rFonts w:ascii="Arial" w:eastAsia="Times New Roman" w:hAnsi="Arial" w:cs="Arial"/>
          <w:lang w:eastAsia="en-GB"/>
        </w:rPr>
      </w:pPr>
      <w:r w:rsidRPr="00793085">
        <w:rPr>
          <w:rFonts w:ascii="Arial" w:eastAsia="Times New Roman" w:hAnsi="Arial" w:cs="Arial"/>
          <w:i/>
          <w:iCs/>
          <w:lang w:eastAsia="en-GB"/>
        </w:rPr>
        <w:t xml:space="preserve">2. </w:t>
      </w:r>
      <w:r w:rsidRPr="00793085">
        <w:rPr>
          <w:rFonts w:ascii="Arial" w:eastAsia="Times New Roman" w:hAnsi="Arial" w:cs="Arial"/>
          <w:b/>
          <w:i/>
          <w:iCs/>
          <w:lang w:eastAsia="en-GB"/>
        </w:rPr>
        <w:t>Misconduct</w:t>
      </w:r>
    </w:p>
    <w:p w14:paraId="2C17D1C2" w14:textId="77777777" w:rsidR="00793085" w:rsidRPr="00793085" w:rsidRDefault="00793085" w:rsidP="00793085">
      <w:pPr>
        <w:shd w:val="clear" w:color="auto" w:fill="FFFFFF"/>
        <w:spacing w:after="240" w:line="330" w:lineRule="atLeast"/>
        <w:jc w:val="both"/>
        <w:rPr>
          <w:rFonts w:ascii="Arial" w:eastAsia="Times New Roman" w:hAnsi="Arial" w:cs="Arial"/>
          <w:lang w:eastAsia="en-GB"/>
        </w:rPr>
      </w:pPr>
      <w:r w:rsidRPr="00793085">
        <w:rPr>
          <w:rFonts w:ascii="Arial" w:eastAsia="Times New Roman" w:hAnsi="Arial" w:cs="Arial"/>
          <w:lang w:eastAsia="en-GB"/>
        </w:rPr>
        <w:t>An employer may try to justify a misconduct dismissal under ERA sub-section 98(2) (b) on the basis that you’ve broken one or more terms of your employment contract.</w:t>
      </w:r>
    </w:p>
    <w:p w14:paraId="28D6D80B" w14:textId="77777777" w:rsidR="00793085" w:rsidRPr="00793085" w:rsidRDefault="00793085" w:rsidP="00793085">
      <w:pPr>
        <w:shd w:val="clear" w:color="auto" w:fill="FFFFFF"/>
        <w:spacing w:after="240" w:line="330" w:lineRule="atLeast"/>
        <w:jc w:val="both"/>
        <w:rPr>
          <w:rFonts w:ascii="Arial" w:eastAsia="Times New Roman" w:hAnsi="Arial" w:cs="Arial"/>
          <w:lang w:eastAsia="en-GB"/>
        </w:rPr>
      </w:pPr>
      <w:r w:rsidRPr="00793085">
        <w:rPr>
          <w:rFonts w:ascii="Arial" w:eastAsia="Times New Roman" w:hAnsi="Arial" w:cs="Arial"/>
          <w:lang w:eastAsia="en-GB"/>
        </w:rPr>
        <w:t>Such misconduct may encompass abusive behaviour, dishonesty, fighting, sexual harassment, theft, bribery, sharing confidential information, tardiness, repeated absences without permission, or intoxication at work.</w:t>
      </w:r>
    </w:p>
    <w:p w14:paraId="552AF7CC" w14:textId="77777777" w:rsidR="00793085" w:rsidRPr="00793085" w:rsidRDefault="00793085" w:rsidP="00793085">
      <w:pPr>
        <w:shd w:val="clear" w:color="auto" w:fill="FFFFFF"/>
        <w:spacing w:after="240" w:line="330" w:lineRule="atLeast"/>
        <w:jc w:val="both"/>
        <w:rPr>
          <w:rFonts w:ascii="Arial" w:eastAsia="Times New Roman" w:hAnsi="Arial" w:cs="Arial"/>
          <w:lang w:eastAsia="en-GB"/>
        </w:rPr>
      </w:pPr>
      <w:r w:rsidRPr="00793085">
        <w:rPr>
          <w:rFonts w:ascii="Arial" w:eastAsia="Times New Roman" w:hAnsi="Arial" w:cs="Arial"/>
          <w:lang w:eastAsia="en-GB"/>
        </w:rPr>
        <w:t>In all instances, your employer should follow a fair disciplinary procedure before dismissing you for misconduct.</w:t>
      </w:r>
    </w:p>
    <w:p w14:paraId="6C712E7A" w14:textId="77777777" w:rsidR="00793085" w:rsidRPr="00793085" w:rsidRDefault="00793085" w:rsidP="00793085">
      <w:pPr>
        <w:shd w:val="clear" w:color="auto" w:fill="FFFFFF"/>
        <w:spacing w:after="240" w:line="330" w:lineRule="atLeast"/>
        <w:jc w:val="both"/>
        <w:rPr>
          <w:rFonts w:ascii="Arial" w:eastAsia="Times New Roman" w:hAnsi="Arial" w:cs="Arial"/>
          <w:lang w:eastAsia="en-GB"/>
        </w:rPr>
      </w:pPr>
      <w:r w:rsidRPr="00793085">
        <w:rPr>
          <w:rFonts w:ascii="Arial" w:eastAsia="Times New Roman" w:hAnsi="Arial" w:cs="Arial"/>
          <w:u w:val="single"/>
          <w:lang w:eastAsia="en-GB"/>
        </w:rPr>
        <w:t>Dismissal for misconduct outside of employment</w:t>
      </w:r>
    </w:p>
    <w:p w14:paraId="4D10ECEA" w14:textId="77777777" w:rsidR="00793085" w:rsidRPr="00793085" w:rsidRDefault="00793085" w:rsidP="00793085">
      <w:pPr>
        <w:shd w:val="clear" w:color="auto" w:fill="FFFFFF"/>
        <w:spacing w:after="240" w:line="330" w:lineRule="atLeast"/>
        <w:jc w:val="both"/>
        <w:rPr>
          <w:rFonts w:ascii="Arial" w:eastAsia="Times New Roman" w:hAnsi="Arial" w:cs="Arial"/>
          <w:lang w:eastAsia="en-GB"/>
        </w:rPr>
      </w:pPr>
      <w:r w:rsidRPr="00793085">
        <w:rPr>
          <w:rFonts w:ascii="Arial" w:eastAsia="Times New Roman" w:hAnsi="Arial" w:cs="Arial"/>
          <w:lang w:eastAsia="en-GB"/>
        </w:rPr>
        <w:t>In some cases, an employer may decide to dismiss an employee for his/her conduct </w:t>
      </w:r>
      <w:r w:rsidRPr="00793085">
        <w:rPr>
          <w:rFonts w:ascii="Arial" w:eastAsia="Times New Roman" w:hAnsi="Arial" w:cs="Arial"/>
          <w:i/>
          <w:iCs/>
          <w:lang w:eastAsia="en-GB"/>
        </w:rPr>
        <w:t>outside</w:t>
      </w:r>
      <w:r w:rsidRPr="00793085">
        <w:rPr>
          <w:rFonts w:ascii="Arial" w:eastAsia="Times New Roman" w:hAnsi="Arial" w:cs="Arial"/>
          <w:lang w:eastAsia="en-GB"/>
        </w:rPr>
        <w:t> of employment. For dismissal to be fair, however, the misconduct must affect the employment relationship.</w:t>
      </w:r>
    </w:p>
    <w:p w14:paraId="1D5DAABF" w14:textId="77777777" w:rsidR="00793085" w:rsidRPr="00793085" w:rsidRDefault="00793085" w:rsidP="00793085">
      <w:pPr>
        <w:shd w:val="clear" w:color="auto" w:fill="FFFFFF"/>
        <w:spacing w:after="240" w:line="330" w:lineRule="atLeast"/>
        <w:jc w:val="both"/>
        <w:rPr>
          <w:rFonts w:ascii="Arial" w:eastAsia="Times New Roman" w:hAnsi="Arial" w:cs="Arial"/>
          <w:lang w:eastAsia="en-GB"/>
        </w:rPr>
      </w:pPr>
      <w:r w:rsidRPr="00793085">
        <w:rPr>
          <w:rFonts w:ascii="Arial" w:eastAsia="Times New Roman" w:hAnsi="Arial" w:cs="Arial"/>
          <w:lang w:eastAsia="en-GB"/>
        </w:rPr>
        <w:t>This issue was addressed by the Court of Appeal in </w:t>
      </w:r>
      <w:hyperlink r:id="rId7" w:tgtFrame="_blank" w:tooltip="X v. Y [2004] EWCA Civ 662" w:history="1">
        <w:r w:rsidRPr="00793085">
          <w:rPr>
            <w:rFonts w:ascii="Arial" w:eastAsia="Times New Roman" w:hAnsi="Arial" w:cs="Arial"/>
            <w:lang w:eastAsia="en-GB"/>
          </w:rPr>
          <w:t>X v. Y [2004] EWCA Civ 662</w:t>
        </w:r>
      </w:hyperlink>
      <w:r w:rsidRPr="00793085">
        <w:rPr>
          <w:rFonts w:ascii="Arial" w:eastAsia="Times New Roman" w:hAnsi="Arial" w:cs="Arial"/>
          <w:lang w:eastAsia="en-GB"/>
        </w:rPr>
        <w:t>, a case concerning the dismissal of a charity employee involved in the personal development of young offenders and those at risk of offending in the 16-26 age group.</w:t>
      </w:r>
    </w:p>
    <w:p w14:paraId="2D6C1DC8" w14:textId="77777777" w:rsidR="00793085" w:rsidRPr="00793085" w:rsidRDefault="00793085" w:rsidP="00793085">
      <w:pPr>
        <w:shd w:val="clear" w:color="auto" w:fill="FFFFFF"/>
        <w:spacing w:after="240" w:line="330" w:lineRule="atLeast"/>
        <w:jc w:val="both"/>
        <w:rPr>
          <w:rFonts w:ascii="Arial" w:eastAsia="Times New Roman" w:hAnsi="Arial" w:cs="Arial"/>
          <w:lang w:eastAsia="en-GB"/>
        </w:rPr>
      </w:pPr>
      <w:r w:rsidRPr="00793085">
        <w:rPr>
          <w:rFonts w:ascii="Arial" w:eastAsia="Times New Roman" w:hAnsi="Arial" w:cs="Arial"/>
          <w:lang w:eastAsia="en-GB"/>
        </w:rPr>
        <w:t>The charity decided to dismiss the employee for gross misconduct after it learnt he had been arrested and cautioned for a sexual offence with another man in a motorway service station toilet. The incident had occurred while the man was off duty and well away from his workplace, so he decided to conceal the caution from the charity.</w:t>
      </w:r>
    </w:p>
    <w:p w14:paraId="27BF4492" w14:textId="77777777" w:rsidR="00793085" w:rsidRPr="00793085" w:rsidRDefault="00793085" w:rsidP="00793085">
      <w:pPr>
        <w:shd w:val="clear" w:color="auto" w:fill="FFFFFF"/>
        <w:spacing w:after="240" w:line="330" w:lineRule="atLeast"/>
        <w:jc w:val="both"/>
        <w:rPr>
          <w:rFonts w:ascii="Arial" w:eastAsia="Times New Roman" w:hAnsi="Arial" w:cs="Arial"/>
          <w:lang w:eastAsia="en-GB"/>
        </w:rPr>
      </w:pPr>
      <w:r w:rsidRPr="00793085">
        <w:rPr>
          <w:rFonts w:ascii="Arial" w:eastAsia="Times New Roman" w:hAnsi="Arial" w:cs="Arial"/>
          <w:lang w:eastAsia="en-GB"/>
        </w:rPr>
        <w:lastRenderedPageBreak/>
        <w:t>The caution came to light as a result of normal police checks made by the local Probation Service before providing further funding to the charity.</w:t>
      </w:r>
    </w:p>
    <w:p w14:paraId="6FB65061" w14:textId="77777777" w:rsidR="00793085" w:rsidRPr="00793085" w:rsidRDefault="00793085" w:rsidP="00793085">
      <w:pPr>
        <w:shd w:val="clear" w:color="auto" w:fill="FFFFFF"/>
        <w:spacing w:after="240" w:line="330" w:lineRule="atLeast"/>
        <w:jc w:val="both"/>
        <w:rPr>
          <w:rFonts w:ascii="Arial" w:eastAsia="Times New Roman" w:hAnsi="Arial" w:cs="Arial"/>
          <w:lang w:eastAsia="en-GB"/>
        </w:rPr>
      </w:pPr>
      <w:r w:rsidRPr="00793085">
        <w:rPr>
          <w:rFonts w:ascii="Arial" w:eastAsia="Times New Roman" w:hAnsi="Arial" w:cs="Arial"/>
          <w:lang w:eastAsia="en-GB"/>
        </w:rPr>
        <w:t>After being sacked, the man brought a claim for unfair dismissal, citing Article 8 of the European Convention on Human Rights (right to respect for private life) and Article 14 (prohibition of discrimination).</w:t>
      </w:r>
    </w:p>
    <w:p w14:paraId="4036940C" w14:textId="77777777" w:rsidR="00793085" w:rsidRPr="00793085" w:rsidRDefault="00793085" w:rsidP="00793085">
      <w:pPr>
        <w:shd w:val="clear" w:color="auto" w:fill="FFFFFF"/>
        <w:spacing w:after="240" w:line="330" w:lineRule="atLeast"/>
        <w:jc w:val="both"/>
        <w:rPr>
          <w:rFonts w:ascii="Arial" w:eastAsia="Times New Roman" w:hAnsi="Arial" w:cs="Arial"/>
          <w:lang w:eastAsia="en-GB"/>
        </w:rPr>
      </w:pPr>
      <w:r w:rsidRPr="00793085">
        <w:rPr>
          <w:rFonts w:ascii="Arial" w:eastAsia="Times New Roman" w:hAnsi="Arial" w:cs="Arial"/>
          <w:lang w:eastAsia="en-GB"/>
        </w:rPr>
        <w:t>The Court of Appeal dismissed the claim. It found that Article 8 did not apply as the offence had not taken place in private, but in a transport café, and it should have been disclosed to his employer.</w:t>
      </w:r>
    </w:p>
    <w:p w14:paraId="08DA5F1D" w14:textId="77777777" w:rsidR="00793085" w:rsidRPr="00793085" w:rsidRDefault="00793085" w:rsidP="00793085">
      <w:pPr>
        <w:shd w:val="clear" w:color="auto" w:fill="FFFFFF"/>
        <w:spacing w:after="240" w:line="330" w:lineRule="atLeast"/>
        <w:jc w:val="both"/>
        <w:rPr>
          <w:rFonts w:ascii="Arial" w:eastAsia="Times New Roman" w:hAnsi="Arial" w:cs="Arial"/>
          <w:lang w:eastAsia="en-GB"/>
        </w:rPr>
      </w:pPr>
      <w:r w:rsidRPr="00793085">
        <w:rPr>
          <w:rFonts w:ascii="Arial" w:eastAsia="Times New Roman" w:hAnsi="Arial" w:cs="Arial"/>
          <w:lang w:eastAsia="en-GB"/>
        </w:rPr>
        <w:t>The Court also held that the offence was relevant to the man’s employment and that the charity was entitled to treat the caution as an acceptance that a criminal offence had been committed, which, in turn, amounted to gross misconduct within the terms of its disciplinary procedure.</w:t>
      </w:r>
    </w:p>
    <w:p w14:paraId="3C7F8B57" w14:textId="77777777" w:rsidR="00793085" w:rsidRPr="00793085" w:rsidRDefault="00793085" w:rsidP="00793085">
      <w:pPr>
        <w:shd w:val="clear" w:color="auto" w:fill="FFFFFF"/>
        <w:spacing w:after="240" w:line="330" w:lineRule="atLeast"/>
        <w:jc w:val="both"/>
        <w:rPr>
          <w:rFonts w:ascii="Arial" w:eastAsia="Times New Roman" w:hAnsi="Arial" w:cs="Arial"/>
          <w:lang w:eastAsia="en-GB"/>
        </w:rPr>
      </w:pPr>
      <w:r w:rsidRPr="00793085">
        <w:rPr>
          <w:rFonts w:ascii="Arial" w:eastAsia="Times New Roman" w:hAnsi="Arial" w:cs="Arial"/>
          <w:lang w:eastAsia="en-GB"/>
        </w:rPr>
        <w:t>As it was the man’s criminality and his lack of transparency, and not his sexuality, which were the grounds of the decision to dismiss him for misconduct, the Court ruled that Article 14 became irrelevant.</w:t>
      </w:r>
    </w:p>
    <w:p w14:paraId="04115E1A" w14:textId="77777777" w:rsidR="00793085" w:rsidRPr="00793085" w:rsidRDefault="00793085" w:rsidP="00793085">
      <w:pPr>
        <w:shd w:val="clear" w:color="auto" w:fill="FFFFFF"/>
        <w:spacing w:after="240" w:line="330" w:lineRule="atLeast"/>
        <w:jc w:val="both"/>
        <w:rPr>
          <w:rFonts w:ascii="Arial" w:eastAsia="Times New Roman" w:hAnsi="Arial" w:cs="Arial"/>
          <w:b/>
          <w:lang w:eastAsia="en-GB"/>
        </w:rPr>
      </w:pPr>
      <w:r w:rsidRPr="00793085">
        <w:rPr>
          <w:rFonts w:ascii="Arial" w:eastAsia="Times New Roman" w:hAnsi="Arial" w:cs="Arial"/>
          <w:i/>
          <w:iCs/>
          <w:lang w:eastAsia="en-GB"/>
        </w:rPr>
        <w:t xml:space="preserve">3. </w:t>
      </w:r>
      <w:r w:rsidRPr="00793085">
        <w:rPr>
          <w:rFonts w:ascii="Arial" w:eastAsia="Times New Roman" w:hAnsi="Arial" w:cs="Arial"/>
          <w:b/>
          <w:i/>
          <w:iCs/>
          <w:lang w:eastAsia="en-GB"/>
        </w:rPr>
        <w:t>Redundancy</w:t>
      </w:r>
    </w:p>
    <w:p w14:paraId="2953C897" w14:textId="77777777" w:rsidR="00793085" w:rsidRPr="00793085" w:rsidRDefault="00793085" w:rsidP="00793085">
      <w:pPr>
        <w:shd w:val="clear" w:color="auto" w:fill="FFFFFF"/>
        <w:spacing w:after="240" w:line="330" w:lineRule="atLeast"/>
        <w:jc w:val="both"/>
        <w:rPr>
          <w:rFonts w:ascii="Arial" w:eastAsia="Times New Roman" w:hAnsi="Arial" w:cs="Arial"/>
          <w:lang w:eastAsia="en-GB"/>
        </w:rPr>
      </w:pPr>
      <w:r w:rsidRPr="00793085">
        <w:rPr>
          <w:rFonts w:ascii="Arial" w:eastAsia="Times New Roman" w:hAnsi="Arial" w:cs="Arial"/>
          <w:lang w:eastAsia="en-GB"/>
        </w:rPr>
        <w:t>Redundancy is another potentially fair reason for dismissal under ERA sub-section 98(2) (c). But, if an employer fails to handle a redundancy fairly, it may face liability for unfair dismissal. Read </w:t>
      </w:r>
      <w:hyperlink r:id="rId8" w:tgtFrame="_blank" w:tooltip="Redundancy FAQs" w:history="1">
        <w:r w:rsidRPr="00793085">
          <w:rPr>
            <w:rFonts w:ascii="Arial" w:eastAsia="Times New Roman" w:hAnsi="Arial" w:cs="Arial"/>
            <w:lang w:eastAsia="en-GB"/>
          </w:rPr>
          <w:t>Redundancy FAQs</w:t>
        </w:r>
      </w:hyperlink>
      <w:r w:rsidRPr="00793085">
        <w:rPr>
          <w:rFonts w:ascii="Arial" w:eastAsia="Times New Roman" w:hAnsi="Arial" w:cs="Arial"/>
          <w:lang w:eastAsia="en-GB"/>
        </w:rPr>
        <w:t> to learn more.</w:t>
      </w:r>
    </w:p>
    <w:p w14:paraId="0E4304BA" w14:textId="77777777" w:rsidR="00793085" w:rsidRPr="00793085" w:rsidRDefault="00793085" w:rsidP="00793085">
      <w:pPr>
        <w:shd w:val="clear" w:color="auto" w:fill="FFFFFF"/>
        <w:spacing w:after="240" w:line="330" w:lineRule="atLeast"/>
        <w:jc w:val="both"/>
        <w:rPr>
          <w:rFonts w:ascii="Arial" w:eastAsia="Times New Roman" w:hAnsi="Arial" w:cs="Arial"/>
          <w:b/>
          <w:lang w:eastAsia="en-GB"/>
        </w:rPr>
      </w:pPr>
      <w:r w:rsidRPr="00793085">
        <w:rPr>
          <w:rFonts w:ascii="Arial" w:eastAsia="Times New Roman" w:hAnsi="Arial" w:cs="Arial"/>
          <w:i/>
          <w:iCs/>
          <w:lang w:eastAsia="en-GB"/>
        </w:rPr>
        <w:t xml:space="preserve">4. </w:t>
      </w:r>
      <w:r w:rsidRPr="00793085">
        <w:rPr>
          <w:rFonts w:ascii="Arial" w:eastAsia="Times New Roman" w:hAnsi="Arial" w:cs="Arial"/>
          <w:b/>
          <w:i/>
          <w:iCs/>
          <w:lang w:eastAsia="en-GB"/>
        </w:rPr>
        <w:t>Legal bar or requirements (‘illegality’)</w:t>
      </w:r>
    </w:p>
    <w:p w14:paraId="3C190C11" w14:textId="77777777" w:rsidR="00793085" w:rsidRPr="00793085" w:rsidRDefault="00793085" w:rsidP="00793085">
      <w:pPr>
        <w:shd w:val="clear" w:color="auto" w:fill="FFFFFF"/>
        <w:spacing w:after="240" w:line="330" w:lineRule="atLeast"/>
        <w:jc w:val="both"/>
        <w:rPr>
          <w:rFonts w:ascii="Arial" w:eastAsia="Times New Roman" w:hAnsi="Arial" w:cs="Arial"/>
          <w:lang w:eastAsia="en-GB"/>
        </w:rPr>
      </w:pPr>
      <w:r w:rsidRPr="00793085">
        <w:rPr>
          <w:rFonts w:ascii="Arial" w:eastAsia="Times New Roman" w:hAnsi="Arial" w:cs="Arial"/>
          <w:lang w:eastAsia="en-GB"/>
        </w:rPr>
        <w:t>Under ERA sub-section 98(2) (d), it may be fair to dismiss someone if it would become illegal to continue to employ them. This might encompass for example the dismissal of a driver who loses their driving licence over drink driving.</w:t>
      </w:r>
    </w:p>
    <w:p w14:paraId="27F0C05E" w14:textId="77777777" w:rsidR="00793085" w:rsidRPr="00793085" w:rsidRDefault="00793085" w:rsidP="00793085">
      <w:pPr>
        <w:shd w:val="clear" w:color="auto" w:fill="FFFFFF"/>
        <w:spacing w:after="240" w:line="330" w:lineRule="atLeast"/>
        <w:jc w:val="both"/>
        <w:rPr>
          <w:rFonts w:ascii="Arial" w:eastAsia="Times New Roman" w:hAnsi="Arial" w:cs="Arial"/>
          <w:lang w:eastAsia="en-GB"/>
        </w:rPr>
      </w:pPr>
      <w:r w:rsidRPr="00793085">
        <w:rPr>
          <w:rFonts w:ascii="Arial" w:eastAsia="Times New Roman" w:hAnsi="Arial" w:cs="Arial"/>
          <w:lang w:eastAsia="en-GB"/>
        </w:rPr>
        <w:t>Before deciding to dismiss the employee, however, the employer should consider whether it’s possible to redeploy them in another job. Continuing the example of the disqualified driver, it may be possible to redeploy them in a related job, like vehicle maintenance.</w:t>
      </w:r>
    </w:p>
    <w:p w14:paraId="5A10A7F8" w14:textId="77777777" w:rsidR="00793085" w:rsidRPr="00793085" w:rsidRDefault="00793085" w:rsidP="00793085">
      <w:pPr>
        <w:shd w:val="clear" w:color="auto" w:fill="FFFFFF"/>
        <w:spacing w:after="240" w:line="330" w:lineRule="atLeast"/>
        <w:jc w:val="both"/>
        <w:rPr>
          <w:rFonts w:ascii="Arial" w:eastAsia="Times New Roman" w:hAnsi="Arial" w:cs="Arial"/>
          <w:lang w:eastAsia="en-GB"/>
        </w:rPr>
      </w:pPr>
      <w:r w:rsidRPr="00793085">
        <w:rPr>
          <w:rFonts w:ascii="Arial" w:eastAsia="Times New Roman" w:hAnsi="Arial" w:cs="Arial"/>
          <w:i/>
          <w:iCs/>
          <w:lang w:eastAsia="en-GB"/>
        </w:rPr>
        <w:t xml:space="preserve">5. </w:t>
      </w:r>
      <w:r w:rsidRPr="00793085">
        <w:rPr>
          <w:rFonts w:ascii="Arial" w:eastAsia="Times New Roman" w:hAnsi="Arial" w:cs="Arial"/>
          <w:b/>
          <w:i/>
          <w:iCs/>
          <w:lang w:eastAsia="en-GB"/>
        </w:rPr>
        <w:t>Retirement</w:t>
      </w:r>
    </w:p>
    <w:p w14:paraId="4C08BC6B" w14:textId="77777777" w:rsidR="00793085" w:rsidRPr="00793085" w:rsidRDefault="00793085" w:rsidP="00793085">
      <w:pPr>
        <w:shd w:val="clear" w:color="auto" w:fill="FFFFFF"/>
        <w:spacing w:after="240" w:line="330" w:lineRule="atLeast"/>
        <w:jc w:val="both"/>
        <w:rPr>
          <w:rFonts w:ascii="Arial" w:eastAsia="Times New Roman" w:hAnsi="Arial" w:cs="Arial"/>
          <w:lang w:eastAsia="en-GB"/>
        </w:rPr>
      </w:pPr>
      <w:r w:rsidRPr="00793085">
        <w:rPr>
          <w:rFonts w:ascii="Arial" w:eastAsia="Times New Roman" w:hAnsi="Arial" w:cs="Arial"/>
          <w:lang w:eastAsia="en-GB"/>
        </w:rPr>
        <w:t>Under sub-section 98(3A), the fairness of a retirement dismissal is determined by ERA sub-sections 98ZA – 98ZH.</w:t>
      </w:r>
    </w:p>
    <w:p w14:paraId="06314139" w14:textId="77777777" w:rsidR="00793085" w:rsidRPr="00793085" w:rsidRDefault="00793085" w:rsidP="00793085">
      <w:pPr>
        <w:shd w:val="clear" w:color="auto" w:fill="FFFFFF"/>
        <w:spacing w:after="240" w:line="330" w:lineRule="atLeast"/>
        <w:jc w:val="both"/>
        <w:rPr>
          <w:rFonts w:ascii="Arial" w:eastAsia="Times New Roman" w:hAnsi="Arial" w:cs="Arial"/>
          <w:lang w:eastAsia="en-GB"/>
        </w:rPr>
      </w:pPr>
      <w:r w:rsidRPr="00793085">
        <w:rPr>
          <w:rFonts w:ascii="Arial" w:eastAsia="Times New Roman" w:hAnsi="Arial" w:cs="Arial"/>
          <w:lang w:eastAsia="en-GB"/>
        </w:rPr>
        <w:t>Currently, under the </w:t>
      </w:r>
      <w:hyperlink r:id="rId9" w:anchor="30" w:tgtFrame="_blank" w:tooltip="Employment Equality (Age) Regulations 2006" w:history="1">
        <w:r w:rsidRPr="00793085">
          <w:rPr>
            <w:rFonts w:ascii="Arial" w:eastAsia="Times New Roman" w:hAnsi="Arial" w:cs="Arial"/>
            <w:lang w:eastAsia="en-GB"/>
          </w:rPr>
          <w:t>Employment Equality (Age) Regulations 2006</w:t>
        </w:r>
      </w:hyperlink>
      <w:r w:rsidRPr="00793085">
        <w:rPr>
          <w:rFonts w:ascii="Arial" w:eastAsia="Times New Roman" w:hAnsi="Arial" w:cs="Arial"/>
          <w:lang w:eastAsia="en-GB"/>
        </w:rPr>
        <w:t xml:space="preserve">, employers can require all staff to retire at 65, or the employer’s normal retirement age, regardless of their circumstances, so long as they follow the procedure set out in the statute. This procedure requires an employer to give an employee at least six months’ notice of retirement. If the employee serves </w:t>
      </w:r>
      <w:r w:rsidRPr="00793085">
        <w:rPr>
          <w:rFonts w:ascii="Arial" w:eastAsia="Times New Roman" w:hAnsi="Arial" w:cs="Arial"/>
          <w:lang w:eastAsia="en-GB"/>
        </w:rPr>
        <w:lastRenderedPageBreak/>
        <w:t>notice that he or she wants to continue working past retirement, the employer must consider the application. Read ‘</w:t>
      </w:r>
      <w:hyperlink r:id="rId10" w:tgtFrame="_blank" w:tooltip="Age discrimination" w:history="1">
        <w:r w:rsidRPr="00793085">
          <w:rPr>
            <w:rFonts w:ascii="Arial" w:eastAsia="Times New Roman" w:hAnsi="Arial" w:cs="Arial"/>
            <w:lang w:eastAsia="en-GB"/>
          </w:rPr>
          <w:t>Age discrimination</w:t>
        </w:r>
      </w:hyperlink>
      <w:r w:rsidRPr="00793085">
        <w:rPr>
          <w:rFonts w:ascii="Arial" w:eastAsia="Times New Roman" w:hAnsi="Arial" w:cs="Arial"/>
          <w:lang w:eastAsia="en-GB"/>
        </w:rPr>
        <w:t>’ to learn more.</w:t>
      </w:r>
    </w:p>
    <w:p w14:paraId="2A9FCDD9" w14:textId="77777777" w:rsidR="00793085" w:rsidRPr="00793085" w:rsidRDefault="00793085" w:rsidP="00793085">
      <w:pPr>
        <w:spacing w:after="0" w:line="360" w:lineRule="auto"/>
        <w:jc w:val="both"/>
        <w:rPr>
          <w:rFonts w:ascii="Arial" w:eastAsia="Times New Roman" w:hAnsi="Arial" w:cs="Arial"/>
          <w:lang w:eastAsia="en-GB"/>
        </w:rPr>
      </w:pPr>
      <w:r w:rsidRPr="00793085">
        <w:rPr>
          <w:rFonts w:ascii="Arial" w:eastAsia="Times New Roman" w:hAnsi="Arial" w:cs="Arial"/>
          <w:shd w:val="clear" w:color="auto" w:fill="FFFFFF"/>
          <w:lang w:eastAsia="en-GB"/>
        </w:rPr>
        <w:t>[Note: Under government proposals revealed in July 2010, employers will no longer be able to issue any notifications for compulsory retirement using the DRA procedure from 6 April 2011 onwards. Employers will only be allowed to compulsorily retire employees if they notify affected staff before 6 April and set a retirement date before 1 October 2011. If employers wish to use retirement ages after 1 October 2011 they will have to demonstrate they are “objectively justified”. Examples could include air traffic controllers and police officers.]</w:t>
      </w:r>
    </w:p>
    <w:p w14:paraId="4FA8C2C4" w14:textId="77777777" w:rsidR="00793085" w:rsidRPr="00793085" w:rsidRDefault="00793085" w:rsidP="00793085">
      <w:pPr>
        <w:shd w:val="clear" w:color="auto" w:fill="FFFFFF"/>
        <w:spacing w:after="240" w:line="330" w:lineRule="atLeast"/>
        <w:jc w:val="both"/>
        <w:rPr>
          <w:rFonts w:ascii="Arial" w:eastAsia="Times New Roman" w:hAnsi="Arial" w:cs="Arial"/>
          <w:lang w:eastAsia="en-GB"/>
        </w:rPr>
      </w:pPr>
      <w:r w:rsidRPr="00793085">
        <w:rPr>
          <w:rFonts w:ascii="Arial" w:eastAsia="Times New Roman" w:hAnsi="Arial" w:cs="Arial"/>
          <w:i/>
          <w:iCs/>
          <w:lang w:eastAsia="en-GB"/>
        </w:rPr>
        <w:t xml:space="preserve">6. </w:t>
      </w:r>
      <w:r w:rsidRPr="00793085">
        <w:rPr>
          <w:rFonts w:ascii="Arial" w:eastAsia="Times New Roman" w:hAnsi="Arial" w:cs="Arial"/>
          <w:b/>
          <w:i/>
          <w:iCs/>
          <w:lang w:eastAsia="en-GB"/>
        </w:rPr>
        <w:t>Some other substantial reason justified dismissal</w:t>
      </w:r>
    </w:p>
    <w:p w14:paraId="1844B73E" w14:textId="77777777" w:rsidR="00793085" w:rsidRPr="00793085" w:rsidRDefault="00793085" w:rsidP="00793085">
      <w:pPr>
        <w:shd w:val="clear" w:color="auto" w:fill="FFFFFF"/>
        <w:spacing w:after="240" w:line="330" w:lineRule="atLeast"/>
        <w:jc w:val="both"/>
        <w:rPr>
          <w:rFonts w:ascii="Arial" w:eastAsia="Times New Roman" w:hAnsi="Arial" w:cs="Arial"/>
          <w:lang w:eastAsia="en-GB"/>
        </w:rPr>
      </w:pPr>
      <w:r w:rsidRPr="00793085">
        <w:rPr>
          <w:rFonts w:ascii="Arial" w:eastAsia="Times New Roman" w:hAnsi="Arial" w:cs="Arial"/>
          <w:lang w:eastAsia="en-GB"/>
        </w:rPr>
        <w:t>ERA sub-section 98(1) (b) is essentially a catch-all provision and encompasses a wide variety of dismissals.</w:t>
      </w:r>
    </w:p>
    <w:p w14:paraId="1F36776E" w14:textId="77777777" w:rsidR="00793085" w:rsidRPr="00793085" w:rsidRDefault="00793085" w:rsidP="00793085">
      <w:pPr>
        <w:shd w:val="clear" w:color="auto" w:fill="FFFFFF"/>
        <w:spacing w:after="240" w:line="330" w:lineRule="atLeast"/>
        <w:jc w:val="both"/>
        <w:rPr>
          <w:rFonts w:ascii="Arial" w:eastAsia="Times New Roman" w:hAnsi="Arial" w:cs="Arial"/>
          <w:lang w:eastAsia="en-GB"/>
        </w:rPr>
      </w:pPr>
      <w:r w:rsidRPr="00793085">
        <w:rPr>
          <w:rFonts w:ascii="Arial" w:eastAsia="Times New Roman" w:hAnsi="Arial" w:cs="Arial"/>
          <w:lang w:eastAsia="en-GB"/>
        </w:rPr>
        <w:t>Emphasis should be placed on the word “substantial”, however; if the dismissal is “whimsical, unworthy or trivial”, it will not suffice.</w:t>
      </w:r>
    </w:p>
    <w:p w14:paraId="07906964" w14:textId="77777777" w:rsidR="00793085" w:rsidRPr="00793085" w:rsidRDefault="00793085" w:rsidP="00793085">
      <w:pPr>
        <w:shd w:val="clear" w:color="auto" w:fill="FFFFFF"/>
        <w:spacing w:after="240" w:line="330" w:lineRule="atLeast"/>
        <w:jc w:val="both"/>
        <w:rPr>
          <w:rFonts w:ascii="Arial" w:eastAsia="Times New Roman" w:hAnsi="Arial" w:cs="Arial"/>
          <w:lang w:eastAsia="en-GB"/>
        </w:rPr>
      </w:pPr>
      <w:r w:rsidRPr="00793085">
        <w:rPr>
          <w:rFonts w:ascii="Arial" w:eastAsia="Times New Roman" w:hAnsi="Arial" w:cs="Arial"/>
          <w:lang w:eastAsia="en-GB"/>
        </w:rPr>
        <w:t>It isn’t possible to provide a comprehensive list of reasons for dismissal under this sub-section, but here are a few that have been held potentially fair by the courts:</w:t>
      </w:r>
    </w:p>
    <w:p w14:paraId="4A27DE2B" w14:textId="77777777" w:rsidR="00793085" w:rsidRPr="00793085" w:rsidRDefault="00793085" w:rsidP="00793085">
      <w:pPr>
        <w:numPr>
          <w:ilvl w:val="0"/>
          <w:numId w:val="2"/>
        </w:numPr>
        <w:shd w:val="clear" w:color="auto" w:fill="FFFFFF"/>
        <w:spacing w:before="100" w:beforeAutospacing="1" w:after="100" w:afterAutospacing="1" w:line="330" w:lineRule="atLeast"/>
        <w:ind w:left="0"/>
        <w:jc w:val="both"/>
        <w:rPr>
          <w:rFonts w:ascii="Arial" w:eastAsia="Times New Roman" w:hAnsi="Arial" w:cs="Arial"/>
          <w:lang w:eastAsia="en-GB"/>
        </w:rPr>
      </w:pPr>
      <w:r w:rsidRPr="00793085">
        <w:rPr>
          <w:rFonts w:ascii="Arial" w:eastAsia="Times New Roman" w:hAnsi="Arial" w:cs="Arial"/>
          <w:lang w:eastAsia="en-GB"/>
        </w:rPr>
        <w:t>unreasonably refusing to accept a reorganisation that changes employment terms (e.g., working hours);</w:t>
      </w:r>
    </w:p>
    <w:p w14:paraId="76830457" w14:textId="77777777" w:rsidR="00793085" w:rsidRPr="00793085" w:rsidRDefault="00793085" w:rsidP="00793085">
      <w:pPr>
        <w:numPr>
          <w:ilvl w:val="0"/>
          <w:numId w:val="2"/>
        </w:numPr>
        <w:shd w:val="clear" w:color="auto" w:fill="FFFFFF"/>
        <w:spacing w:before="100" w:beforeAutospacing="1" w:after="100" w:afterAutospacing="1" w:line="330" w:lineRule="atLeast"/>
        <w:ind w:left="0"/>
        <w:jc w:val="both"/>
        <w:rPr>
          <w:rFonts w:ascii="Arial" w:eastAsia="Times New Roman" w:hAnsi="Arial" w:cs="Arial"/>
          <w:lang w:eastAsia="en-GB"/>
        </w:rPr>
      </w:pPr>
      <w:r w:rsidRPr="00793085">
        <w:rPr>
          <w:rFonts w:ascii="Arial" w:eastAsia="Times New Roman" w:hAnsi="Arial" w:cs="Arial"/>
          <w:lang w:eastAsia="en-GB"/>
        </w:rPr>
        <w:t>replacement by a better qualified employee;</w:t>
      </w:r>
    </w:p>
    <w:p w14:paraId="1B4A6CF4" w14:textId="77777777" w:rsidR="00793085" w:rsidRPr="00793085" w:rsidRDefault="00793085" w:rsidP="00793085">
      <w:pPr>
        <w:numPr>
          <w:ilvl w:val="0"/>
          <w:numId w:val="2"/>
        </w:numPr>
        <w:shd w:val="clear" w:color="auto" w:fill="FFFFFF"/>
        <w:spacing w:before="100" w:beforeAutospacing="1" w:after="100" w:afterAutospacing="1" w:line="330" w:lineRule="atLeast"/>
        <w:ind w:left="0"/>
        <w:jc w:val="both"/>
        <w:rPr>
          <w:rFonts w:ascii="Arial" w:eastAsia="Times New Roman" w:hAnsi="Arial" w:cs="Arial"/>
          <w:lang w:eastAsia="en-GB"/>
        </w:rPr>
      </w:pPr>
      <w:r w:rsidRPr="00793085">
        <w:rPr>
          <w:rFonts w:ascii="Arial" w:eastAsia="Times New Roman" w:hAnsi="Arial" w:cs="Arial"/>
          <w:lang w:eastAsia="en-GB"/>
        </w:rPr>
        <w:t>end of genuine temporary employment;</w:t>
      </w:r>
    </w:p>
    <w:p w14:paraId="11427D1F" w14:textId="77777777" w:rsidR="00793085" w:rsidRPr="00793085" w:rsidRDefault="00793085" w:rsidP="00793085">
      <w:pPr>
        <w:numPr>
          <w:ilvl w:val="0"/>
          <w:numId w:val="2"/>
        </w:numPr>
        <w:shd w:val="clear" w:color="auto" w:fill="FFFFFF"/>
        <w:spacing w:before="100" w:beforeAutospacing="1" w:after="100" w:afterAutospacing="1" w:line="330" w:lineRule="atLeast"/>
        <w:ind w:left="0"/>
        <w:jc w:val="both"/>
        <w:rPr>
          <w:rFonts w:ascii="Arial" w:eastAsia="Times New Roman" w:hAnsi="Arial" w:cs="Arial"/>
          <w:lang w:eastAsia="en-GB"/>
        </w:rPr>
      </w:pPr>
      <w:r w:rsidRPr="00793085">
        <w:rPr>
          <w:rFonts w:ascii="Arial" w:eastAsia="Times New Roman" w:hAnsi="Arial" w:cs="Arial"/>
          <w:lang w:eastAsia="en-GB"/>
        </w:rPr>
        <w:t>dismissal because of an irresolvable personality clash with a co-worker;</w:t>
      </w:r>
    </w:p>
    <w:p w14:paraId="3EC6D5BE" w14:textId="77777777" w:rsidR="00793085" w:rsidRPr="00793085" w:rsidRDefault="00793085" w:rsidP="00793085">
      <w:pPr>
        <w:numPr>
          <w:ilvl w:val="0"/>
          <w:numId w:val="2"/>
        </w:numPr>
        <w:shd w:val="clear" w:color="auto" w:fill="FFFFFF"/>
        <w:spacing w:before="100" w:beforeAutospacing="1" w:after="100" w:afterAutospacing="1" w:line="330" w:lineRule="atLeast"/>
        <w:ind w:left="0"/>
        <w:jc w:val="both"/>
        <w:rPr>
          <w:rFonts w:ascii="Arial" w:eastAsia="Times New Roman" w:hAnsi="Arial" w:cs="Arial"/>
          <w:lang w:eastAsia="en-GB"/>
        </w:rPr>
      </w:pPr>
      <w:r w:rsidRPr="00793085">
        <w:rPr>
          <w:rFonts w:ascii="Arial" w:eastAsia="Times New Roman" w:hAnsi="Arial" w:cs="Arial"/>
          <w:lang w:eastAsia="en-GB"/>
        </w:rPr>
        <w:t>the relationship between an employee and someone working for a competitor, where there is a genuine risk of revealing trade secrets;</w:t>
      </w:r>
    </w:p>
    <w:p w14:paraId="6D02BECD" w14:textId="77777777" w:rsidR="00793085" w:rsidRPr="00793085" w:rsidRDefault="00793085" w:rsidP="00793085">
      <w:pPr>
        <w:numPr>
          <w:ilvl w:val="0"/>
          <w:numId w:val="2"/>
        </w:numPr>
        <w:shd w:val="clear" w:color="auto" w:fill="FFFFFF"/>
        <w:spacing w:before="100" w:beforeAutospacing="1" w:after="100" w:afterAutospacing="1" w:line="330" w:lineRule="atLeast"/>
        <w:ind w:left="0"/>
        <w:jc w:val="both"/>
        <w:rPr>
          <w:rFonts w:ascii="Arial" w:eastAsia="Times New Roman" w:hAnsi="Arial" w:cs="Arial"/>
          <w:lang w:eastAsia="en-GB"/>
        </w:rPr>
      </w:pPr>
      <w:r w:rsidRPr="00793085">
        <w:rPr>
          <w:rFonts w:ascii="Arial" w:eastAsia="Times New Roman" w:hAnsi="Arial" w:cs="Arial"/>
          <w:lang w:eastAsia="en-GB"/>
        </w:rPr>
        <w:t>refusal of employees to accept a new restraint of trade clause in their contracts.</w:t>
      </w:r>
    </w:p>
    <w:p w14:paraId="1D5EA414" w14:textId="77777777" w:rsidR="00741C33" w:rsidRPr="00793085" w:rsidRDefault="00741C33">
      <w:pPr>
        <w:rPr>
          <w:rFonts w:ascii="Arial" w:hAnsi="Arial" w:cs="Arial"/>
        </w:rPr>
      </w:pPr>
    </w:p>
    <w:sectPr w:rsidR="00741C33" w:rsidRPr="0079308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7AD9B" w14:textId="77777777" w:rsidR="00985783" w:rsidRDefault="00985783" w:rsidP="006D7706">
      <w:pPr>
        <w:spacing w:after="0" w:line="240" w:lineRule="auto"/>
      </w:pPr>
      <w:r>
        <w:separator/>
      </w:r>
    </w:p>
  </w:endnote>
  <w:endnote w:type="continuationSeparator" w:id="0">
    <w:p w14:paraId="70D5246C" w14:textId="77777777" w:rsidR="00985783" w:rsidRDefault="00985783" w:rsidP="006D7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730581"/>
      <w:docPartObj>
        <w:docPartGallery w:val="Page Numbers (Bottom of Page)"/>
        <w:docPartUnique/>
      </w:docPartObj>
    </w:sdtPr>
    <w:sdtEndPr>
      <w:rPr>
        <w:noProof/>
      </w:rPr>
    </w:sdtEndPr>
    <w:sdtContent>
      <w:p w14:paraId="09BC6214" w14:textId="1D4F3265" w:rsidR="005B2320" w:rsidRDefault="005B23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A500DA" w14:textId="77777777" w:rsidR="006D7706" w:rsidRDefault="006D7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9369" w14:textId="77777777" w:rsidR="00985783" w:rsidRDefault="00985783" w:rsidP="006D7706">
      <w:pPr>
        <w:spacing w:after="0" w:line="240" w:lineRule="auto"/>
      </w:pPr>
      <w:r>
        <w:separator/>
      </w:r>
    </w:p>
  </w:footnote>
  <w:footnote w:type="continuationSeparator" w:id="0">
    <w:p w14:paraId="520DC7F6" w14:textId="77777777" w:rsidR="00985783" w:rsidRDefault="00985783" w:rsidP="006D7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8A0"/>
    <w:multiLevelType w:val="multilevel"/>
    <w:tmpl w:val="26A010EE"/>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332DFD"/>
    <w:multiLevelType w:val="multilevel"/>
    <w:tmpl w:val="FF32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AE5812"/>
    <w:multiLevelType w:val="multilevel"/>
    <w:tmpl w:val="D82C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085"/>
    <w:rsid w:val="00240C59"/>
    <w:rsid w:val="005B2320"/>
    <w:rsid w:val="006D7706"/>
    <w:rsid w:val="00741C33"/>
    <w:rsid w:val="00793085"/>
    <w:rsid w:val="00985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4147"/>
  <w15:chartTrackingRefBased/>
  <w15:docId w15:val="{21A762A2-A746-470C-B754-A5B0BF5C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9308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308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930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93085"/>
    <w:rPr>
      <w:i/>
      <w:iCs/>
    </w:rPr>
  </w:style>
  <w:style w:type="character" w:customStyle="1" w:styleId="apple-converted-space">
    <w:name w:val="apple-converted-space"/>
    <w:basedOn w:val="DefaultParagraphFont"/>
    <w:rsid w:val="00793085"/>
  </w:style>
  <w:style w:type="character" w:styleId="Hyperlink">
    <w:name w:val="Hyperlink"/>
    <w:basedOn w:val="DefaultParagraphFont"/>
    <w:uiPriority w:val="99"/>
    <w:semiHidden/>
    <w:unhideWhenUsed/>
    <w:rsid w:val="00793085"/>
    <w:rPr>
      <w:color w:val="0000FF"/>
      <w:u w:val="single"/>
    </w:rPr>
  </w:style>
  <w:style w:type="paragraph" w:styleId="Header">
    <w:name w:val="header"/>
    <w:basedOn w:val="Normal"/>
    <w:link w:val="HeaderChar"/>
    <w:uiPriority w:val="99"/>
    <w:unhideWhenUsed/>
    <w:rsid w:val="006D7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706"/>
  </w:style>
  <w:style w:type="paragraph" w:styleId="Footer">
    <w:name w:val="footer"/>
    <w:basedOn w:val="Normal"/>
    <w:link w:val="FooterChar"/>
    <w:uiPriority w:val="99"/>
    <w:unhideWhenUsed/>
    <w:rsid w:val="006D7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706"/>
  </w:style>
  <w:style w:type="paragraph" w:styleId="BalloonText">
    <w:name w:val="Balloon Text"/>
    <w:basedOn w:val="Normal"/>
    <w:link w:val="BalloonTextChar"/>
    <w:uiPriority w:val="99"/>
    <w:semiHidden/>
    <w:unhideWhenUsed/>
    <w:rsid w:val="006D7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7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40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ndlaw.co.uk/law/employment/redundancy_rights/500168.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ilii.org/ew/cases/EWCA/Civ/2004/66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findlaw.co.uk/law/employment/discrimination/8501.html" TargetMode="External"/><Relationship Id="rId4" Type="http://schemas.openxmlformats.org/officeDocument/2006/relationships/webSettings" Target="webSettings.xml"/><Relationship Id="rId9" Type="http://schemas.openxmlformats.org/officeDocument/2006/relationships/hyperlink" Target="http://www.opsi.gov.uk/si/si2006/2006103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Gent</dc:creator>
  <cp:keywords/>
  <dc:description/>
  <cp:lastModifiedBy>Ian Pfluger</cp:lastModifiedBy>
  <cp:revision>4</cp:revision>
  <cp:lastPrinted>2016-03-05T17:18:00Z</cp:lastPrinted>
  <dcterms:created xsi:type="dcterms:W3CDTF">2016-03-05T15:19:00Z</dcterms:created>
  <dcterms:modified xsi:type="dcterms:W3CDTF">2021-08-24T10:52:00Z</dcterms:modified>
</cp:coreProperties>
</file>