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List of upcoming employment law updates with a brief description and launch date."/>
      </w:tblPr>
      <w:tblGrid>
        <w:gridCol w:w="7479"/>
        <w:gridCol w:w="1531"/>
      </w:tblGrid>
      <w:tr w:rsidR="000D3495" w:rsidRPr="000D3495" w:rsidTr="000D349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jc w:val="center"/>
              <w:rPr>
                <w:rFonts w:ascii="Verdana" w:eastAsia="Times New Roman" w:hAnsi="Verdana" w:cs="Times New Roman"/>
                <w:b/>
                <w:bCs/>
                <w:color w:val="000000"/>
                <w:sz w:val="24"/>
                <w:szCs w:val="24"/>
                <w:lang w:eastAsia="en-GB"/>
              </w:rPr>
            </w:pPr>
            <w:bookmarkStart w:id="0" w:name="_GoBack"/>
            <w:bookmarkEnd w:id="0"/>
            <w:r w:rsidRPr="000D3495">
              <w:rPr>
                <w:rFonts w:ascii="Verdana" w:eastAsia="Times New Roman" w:hAnsi="Verdana" w:cs="Times New Roman"/>
                <w:b/>
                <w:bCs/>
                <w:color w:val="000000"/>
                <w:sz w:val="24"/>
                <w:szCs w:val="24"/>
                <w:lang w:eastAsia="en-GB"/>
              </w:rPr>
              <w:t>Employment legislation changes in 2017-2018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jc w:val="center"/>
              <w:rPr>
                <w:rFonts w:ascii="Verdana" w:eastAsia="Times New Roman" w:hAnsi="Verdana" w:cs="Times New Roman"/>
                <w:b/>
                <w:bCs/>
                <w:color w:val="000000"/>
                <w:sz w:val="24"/>
                <w:szCs w:val="24"/>
                <w:lang w:eastAsia="en-GB"/>
              </w:rPr>
            </w:pPr>
            <w:r w:rsidRPr="000D3495">
              <w:rPr>
                <w:rFonts w:ascii="Verdana" w:eastAsia="Times New Roman" w:hAnsi="Verdana" w:cs="Times New Roman"/>
                <w:b/>
                <w:bCs/>
                <w:color w:val="000000"/>
                <w:sz w:val="24"/>
                <w:szCs w:val="24"/>
                <w:lang w:eastAsia="en-GB"/>
              </w:rPr>
              <w:t>Effective date</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before="75" w:after="75" w:line="240" w:lineRule="auto"/>
              <w:outlineLvl w:val="2"/>
              <w:rPr>
                <w:rFonts w:ascii="Verdana" w:eastAsia="Times New Roman" w:hAnsi="Verdana" w:cs="Times New Roman"/>
                <w:b/>
                <w:bCs/>
                <w:color w:val="054571"/>
                <w:sz w:val="18"/>
                <w:szCs w:val="18"/>
                <w:lang w:eastAsia="en-GB"/>
              </w:rPr>
            </w:pPr>
            <w:hyperlink r:id="rId5" w:history="1">
              <w:r w:rsidR="000D3495" w:rsidRPr="000D3495">
                <w:rPr>
                  <w:rFonts w:ascii="Verdana" w:eastAsia="Times New Roman" w:hAnsi="Verdana" w:cs="Times New Roman"/>
                  <w:b/>
                  <w:bCs/>
                  <w:color w:val="053C52"/>
                  <w:sz w:val="18"/>
                  <w:szCs w:val="18"/>
                  <w:lang w:eastAsia="en-GB"/>
                </w:rPr>
                <w:t>Trade Union Act</w:t>
              </w:r>
            </w:hyperlink>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The Act reforms the rules on trade union ballots for taking industrial action. The main provisions of the Act are :</w:t>
            </w:r>
          </w:p>
          <w:p w:rsidR="000D3495" w:rsidRPr="000D3495" w:rsidRDefault="000D3495" w:rsidP="000D3495">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50% turnout threshold for there to be a valid ballot on industrial action.</w:t>
            </w:r>
          </w:p>
          <w:p w:rsidR="000D3495" w:rsidRPr="000D3495" w:rsidRDefault="000D3495" w:rsidP="000D3495">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Threshold of 40% support from all members in order to take industrial action in key sectors.</w:t>
            </w:r>
          </w:p>
          <w:p w:rsidR="000D3495" w:rsidRPr="000D3495" w:rsidRDefault="000D3495" w:rsidP="000D3495">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Four month time limit for which the ballot will remain valid to authorise industrial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March 2017</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before="75" w:after="75" w:line="240" w:lineRule="auto"/>
              <w:outlineLvl w:val="2"/>
              <w:rPr>
                <w:rFonts w:ascii="Verdana" w:eastAsia="Times New Roman" w:hAnsi="Verdana" w:cs="Times New Roman"/>
                <w:b/>
                <w:bCs/>
                <w:color w:val="054571"/>
                <w:sz w:val="18"/>
                <w:szCs w:val="18"/>
                <w:lang w:eastAsia="en-GB"/>
              </w:rPr>
            </w:pPr>
            <w:hyperlink r:id="rId6" w:history="1">
              <w:r w:rsidR="000D3495" w:rsidRPr="000D3495">
                <w:rPr>
                  <w:rFonts w:ascii="Verdana" w:eastAsia="Times New Roman" w:hAnsi="Verdana" w:cs="Times New Roman"/>
                  <w:b/>
                  <w:bCs/>
                  <w:color w:val="053C52"/>
                  <w:sz w:val="18"/>
                  <w:szCs w:val="18"/>
                  <w:lang w:eastAsia="en-GB"/>
                </w:rPr>
                <w:t>Gender pay gap reporting</w:t>
              </w:r>
            </w:hyperlink>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To address the gender pay gap, the Government has introduced a requirement for all large organisations to publish their gender pay gap. Employers will need to publish key wage information taken on a snapshot date each year. This will need to include the difference in hourly earnings as well as the gap in bonus pay.</w:t>
            </w:r>
          </w:p>
          <w:p w:rsidR="000D3495" w:rsidRPr="000D3495" w:rsidRDefault="000D3495" w:rsidP="000D3495">
            <w:pPr>
              <w:spacing w:before="75" w:after="75" w:line="240" w:lineRule="auto"/>
              <w:outlineLvl w:val="2"/>
              <w:rPr>
                <w:rFonts w:ascii="Verdana" w:eastAsia="Times New Roman" w:hAnsi="Verdana" w:cs="Times New Roman"/>
                <w:b/>
                <w:bCs/>
                <w:color w:val="054571"/>
                <w:sz w:val="18"/>
                <w:szCs w:val="18"/>
                <w:lang w:eastAsia="en-GB"/>
              </w:rPr>
            </w:pPr>
            <w:r w:rsidRPr="000D3495">
              <w:rPr>
                <w:rFonts w:ascii="Verdana" w:eastAsia="Times New Roman" w:hAnsi="Verdana" w:cs="Times New Roman"/>
                <w:b/>
                <w:bCs/>
                <w:color w:val="054571"/>
                <w:sz w:val="18"/>
                <w:szCs w:val="18"/>
                <w:lang w:eastAsia="en-GB"/>
              </w:rPr>
              <w:t>Need further help?</w:t>
            </w:r>
          </w:p>
          <w:p w:rsidR="000D3495" w:rsidRPr="000D3495" w:rsidRDefault="002530EC" w:rsidP="000D3495">
            <w:pPr>
              <w:spacing w:before="100" w:beforeAutospacing="1" w:after="100" w:afterAutospacing="1" w:line="240" w:lineRule="auto"/>
              <w:rPr>
                <w:rFonts w:ascii="Verdana" w:eastAsia="Times New Roman" w:hAnsi="Verdana" w:cs="Times New Roman"/>
                <w:color w:val="000000"/>
                <w:sz w:val="24"/>
                <w:szCs w:val="24"/>
                <w:lang w:eastAsia="en-GB"/>
              </w:rPr>
            </w:pPr>
            <w:hyperlink r:id="rId7" w:history="1">
              <w:proofErr w:type="spellStart"/>
              <w:r w:rsidR="000D3495" w:rsidRPr="000D3495">
                <w:rPr>
                  <w:rFonts w:ascii="Verdana" w:eastAsia="Times New Roman" w:hAnsi="Verdana" w:cs="Times New Roman"/>
                  <w:b/>
                  <w:bCs/>
                  <w:color w:val="053C52"/>
                  <w:sz w:val="24"/>
                  <w:szCs w:val="24"/>
                  <w:lang w:eastAsia="en-GB"/>
                </w:rPr>
                <w:t>Acas</w:t>
              </w:r>
              <w:proofErr w:type="spellEnd"/>
              <w:r w:rsidR="000D3495" w:rsidRPr="000D3495">
                <w:rPr>
                  <w:rFonts w:ascii="Verdana" w:eastAsia="Times New Roman" w:hAnsi="Verdana" w:cs="Times New Roman"/>
                  <w:b/>
                  <w:bCs/>
                  <w:color w:val="053C52"/>
                  <w:sz w:val="24"/>
                  <w:szCs w:val="24"/>
                  <w:lang w:eastAsia="en-GB"/>
                </w:rPr>
                <w:t xml:space="preserve"> gender pay training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April 2017</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before="75" w:after="75" w:line="240" w:lineRule="auto"/>
              <w:outlineLvl w:val="2"/>
              <w:rPr>
                <w:rFonts w:ascii="Verdana" w:eastAsia="Times New Roman" w:hAnsi="Verdana" w:cs="Times New Roman"/>
                <w:b/>
                <w:bCs/>
                <w:color w:val="054571"/>
                <w:sz w:val="18"/>
                <w:szCs w:val="18"/>
                <w:lang w:eastAsia="en-GB"/>
              </w:rPr>
            </w:pPr>
            <w:hyperlink r:id="rId8" w:history="1">
              <w:r w:rsidR="000D3495" w:rsidRPr="000D3495">
                <w:rPr>
                  <w:rFonts w:ascii="Verdana" w:eastAsia="Times New Roman" w:hAnsi="Verdana" w:cs="Times New Roman"/>
                  <w:b/>
                  <w:bCs/>
                  <w:color w:val="053C52"/>
                  <w:sz w:val="18"/>
                  <w:szCs w:val="18"/>
                  <w:lang w:eastAsia="en-GB"/>
                </w:rPr>
                <w:t>Apprenticeship Levy</w:t>
              </w:r>
            </w:hyperlink>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Employers with a wage bill of more than £3 million per year now have to pay an apprenticeship levy. The levy will apply to all industry sectors, in both the public and private sector, for the purpose of raising money to meet the cost of apprenticeship schemes across the UK.</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April 2017</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before="75" w:after="75" w:line="240" w:lineRule="auto"/>
              <w:outlineLvl w:val="2"/>
              <w:rPr>
                <w:rFonts w:ascii="Verdana" w:eastAsia="Times New Roman" w:hAnsi="Verdana" w:cs="Times New Roman"/>
                <w:b/>
                <w:bCs/>
                <w:color w:val="054571"/>
                <w:sz w:val="18"/>
                <w:szCs w:val="18"/>
                <w:lang w:eastAsia="en-GB"/>
              </w:rPr>
            </w:pPr>
            <w:hyperlink r:id="rId9" w:history="1">
              <w:r w:rsidR="000D3495" w:rsidRPr="000D3495">
                <w:rPr>
                  <w:rFonts w:ascii="Verdana" w:eastAsia="Times New Roman" w:hAnsi="Verdana" w:cs="Times New Roman"/>
                  <w:b/>
                  <w:bCs/>
                  <w:color w:val="053C52"/>
                  <w:sz w:val="18"/>
                  <w:szCs w:val="18"/>
                  <w:lang w:eastAsia="en-GB"/>
                </w:rPr>
                <w:t>National Minimum Wage and National Living Wage</w:t>
              </w:r>
            </w:hyperlink>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Increases in hourly rates of pay for both the National Minimum Wage and National Living Wage. Details in the table below.</w:t>
            </w:r>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Future changes for both will take place in April of each year. </w:t>
            </w:r>
          </w:p>
          <w:p w:rsidR="000D3495" w:rsidRPr="000D3495" w:rsidRDefault="000D3495" w:rsidP="000D3495">
            <w:pPr>
              <w:spacing w:before="75" w:after="75" w:line="240" w:lineRule="auto"/>
              <w:outlineLvl w:val="2"/>
              <w:rPr>
                <w:rFonts w:ascii="Verdana" w:eastAsia="Times New Roman" w:hAnsi="Verdana" w:cs="Times New Roman"/>
                <w:b/>
                <w:bCs/>
                <w:color w:val="054571"/>
                <w:sz w:val="18"/>
                <w:szCs w:val="18"/>
                <w:lang w:eastAsia="en-GB"/>
              </w:rPr>
            </w:pPr>
            <w:r w:rsidRPr="000D3495">
              <w:rPr>
                <w:rFonts w:ascii="Verdana" w:eastAsia="Times New Roman" w:hAnsi="Verdana" w:cs="Times New Roman"/>
                <w:b/>
                <w:bCs/>
                <w:color w:val="054571"/>
                <w:sz w:val="18"/>
                <w:szCs w:val="18"/>
                <w:lang w:eastAsia="en-GB"/>
              </w:rPr>
              <w:t>Need further help?</w:t>
            </w:r>
          </w:p>
          <w:p w:rsidR="000D3495" w:rsidRPr="000D3495" w:rsidRDefault="002530EC" w:rsidP="000D3495">
            <w:pPr>
              <w:spacing w:before="100" w:beforeAutospacing="1" w:after="100" w:afterAutospacing="1" w:line="240" w:lineRule="auto"/>
              <w:rPr>
                <w:rFonts w:ascii="Verdana" w:eastAsia="Times New Roman" w:hAnsi="Verdana" w:cs="Times New Roman"/>
                <w:color w:val="000000"/>
                <w:sz w:val="24"/>
                <w:szCs w:val="24"/>
                <w:lang w:eastAsia="en-GB"/>
              </w:rPr>
            </w:pPr>
            <w:hyperlink r:id="rId10" w:history="1">
              <w:r w:rsidR="000D3495" w:rsidRPr="000D3495">
                <w:rPr>
                  <w:rFonts w:ascii="Verdana" w:eastAsia="Times New Roman" w:hAnsi="Verdana" w:cs="Times New Roman"/>
                  <w:b/>
                  <w:bCs/>
                  <w:color w:val="053C52"/>
                  <w:sz w:val="24"/>
                  <w:szCs w:val="24"/>
                  <w:lang w:eastAsia="en-GB"/>
                </w:rPr>
                <w:t xml:space="preserve">Pay - </w:t>
              </w:r>
              <w:proofErr w:type="spellStart"/>
              <w:r w:rsidR="000D3495" w:rsidRPr="000D3495">
                <w:rPr>
                  <w:rFonts w:ascii="Verdana" w:eastAsia="Times New Roman" w:hAnsi="Verdana" w:cs="Times New Roman"/>
                  <w:b/>
                  <w:bCs/>
                  <w:color w:val="053C52"/>
                  <w:sz w:val="24"/>
                  <w:szCs w:val="24"/>
                  <w:lang w:eastAsia="en-GB"/>
                </w:rPr>
                <w:t>Acas</w:t>
              </w:r>
              <w:proofErr w:type="spellEnd"/>
              <w:r w:rsidR="000D3495" w:rsidRPr="000D3495">
                <w:rPr>
                  <w:rFonts w:ascii="Verdana" w:eastAsia="Times New Roman" w:hAnsi="Verdana" w:cs="Times New Roman"/>
                  <w:b/>
                  <w:bCs/>
                  <w:color w:val="053C52"/>
                  <w:sz w:val="24"/>
                  <w:szCs w:val="24"/>
                  <w:lang w:eastAsia="en-GB"/>
                </w:rPr>
                <w:t xml:space="preserve"> training and support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April 2018</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before="75" w:after="75" w:line="240" w:lineRule="auto"/>
              <w:outlineLvl w:val="2"/>
              <w:rPr>
                <w:rFonts w:ascii="Verdana" w:eastAsia="Times New Roman" w:hAnsi="Verdana" w:cs="Times New Roman"/>
                <w:b/>
                <w:bCs/>
                <w:color w:val="054571"/>
                <w:sz w:val="18"/>
                <w:szCs w:val="18"/>
                <w:lang w:eastAsia="en-GB"/>
              </w:rPr>
            </w:pPr>
            <w:hyperlink r:id="rId11" w:history="1">
              <w:r w:rsidR="000D3495" w:rsidRPr="000D3495">
                <w:rPr>
                  <w:rFonts w:ascii="Verdana" w:eastAsia="Times New Roman" w:hAnsi="Verdana" w:cs="Times New Roman"/>
                  <w:b/>
                  <w:bCs/>
                  <w:color w:val="053C52"/>
                  <w:sz w:val="18"/>
                  <w:szCs w:val="18"/>
                  <w:lang w:eastAsia="en-GB"/>
                </w:rPr>
                <w:t>The Immigration Skills Charge Regulations 2017</w:t>
              </w:r>
            </w:hyperlink>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From April 2017 employers who sponsor skilled workers under tier 2 of the points based system have had to pay £1,000 per certificate of sponsorship. Employers should confirm that they have checked that all their current employees have the right to work in the UK, and that they can prove that those checks have taken place. A paper trail will be essential.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April 2017</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75" w:after="75" w:line="240" w:lineRule="auto"/>
              <w:outlineLvl w:val="2"/>
              <w:rPr>
                <w:rFonts w:ascii="Verdana" w:eastAsia="Times New Roman" w:hAnsi="Verdana" w:cs="Times New Roman"/>
                <w:b/>
                <w:bCs/>
                <w:color w:val="054571"/>
                <w:sz w:val="18"/>
                <w:szCs w:val="18"/>
                <w:lang w:eastAsia="en-GB"/>
              </w:rPr>
            </w:pPr>
            <w:r w:rsidRPr="000D3495">
              <w:rPr>
                <w:rFonts w:ascii="Verdana" w:eastAsia="Times New Roman" w:hAnsi="Verdana" w:cs="Times New Roman"/>
                <w:b/>
                <w:bCs/>
                <w:color w:val="054571"/>
                <w:sz w:val="18"/>
                <w:szCs w:val="18"/>
                <w:lang w:eastAsia="en-GB"/>
              </w:rPr>
              <w:t>Fit for Work service</w:t>
            </w:r>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 xml:space="preserve">In </w:t>
            </w:r>
            <w:r w:rsidRPr="000D3495">
              <w:rPr>
                <w:rFonts w:ascii="Verdana" w:eastAsia="Times New Roman" w:hAnsi="Verdana" w:cs="Times New Roman"/>
                <w:b/>
                <w:bCs/>
                <w:color w:val="000000"/>
                <w:sz w:val="24"/>
                <w:szCs w:val="24"/>
                <w:lang w:eastAsia="en-GB"/>
              </w:rPr>
              <w:t>England and Wales</w:t>
            </w:r>
            <w:r w:rsidRPr="000D3495">
              <w:rPr>
                <w:rFonts w:ascii="Verdana" w:eastAsia="Times New Roman" w:hAnsi="Verdana" w:cs="Times New Roman"/>
                <w:color w:val="000000"/>
                <w:sz w:val="24"/>
                <w:szCs w:val="24"/>
                <w:lang w:eastAsia="en-GB"/>
              </w:rPr>
              <w:t xml:space="preserve">, the service stopped accepting new referrals in December 2017, but will continue to deal with ongoing referrals until 31 March 2018. </w:t>
            </w:r>
            <w:r w:rsidRPr="000D3495">
              <w:rPr>
                <w:rFonts w:ascii="Verdana" w:eastAsia="Times New Roman" w:hAnsi="Verdana" w:cs="Times New Roman"/>
                <w:b/>
                <w:bCs/>
                <w:color w:val="000000"/>
                <w:sz w:val="24"/>
                <w:szCs w:val="24"/>
                <w:lang w:eastAsia="en-GB"/>
              </w:rPr>
              <w:t>In Scotland</w:t>
            </w:r>
            <w:r w:rsidRPr="000D3495">
              <w:rPr>
                <w:rFonts w:ascii="Verdana" w:eastAsia="Times New Roman" w:hAnsi="Verdana" w:cs="Times New Roman"/>
                <w:color w:val="000000"/>
                <w:sz w:val="24"/>
                <w:szCs w:val="24"/>
                <w:lang w:eastAsia="en-GB"/>
              </w:rPr>
              <w:t>, the service is due to end on 31 March 2018 though they may stop accepting new referrals before this date, though this is still to be confirmed</w:t>
            </w:r>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In all locations, Fit for Work will continue to provide telephone advice, webchat, email service and online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December 2017</w:t>
            </w:r>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March 2018</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75" w:after="75" w:line="240" w:lineRule="auto"/>
              <w:outlineLvl w:val="2"/>
              <w:rPr>
                <w:rFonts w:ascii="Verdana" w:eastAsia="Times New Roman" w:hAnsi="Verdana" w:cs="Times New Roman"/>
                <w:b/>
                <w:bCs/>
                <w:color w:val="054571"/>
                <w:sz w:val="18"/>
                <w:szCs w:val="18"/>
                <w:lang w:eastAsia="en-GB"/>
              </w:rPr>
            </w:pPr>
            <w:r w:rsidRPr="000D3495">
              <w:rPr>
                <w:rFonts w:ascii="Verdana" w:eastAsia="Times New Roman" w:hAnsi="Verdana" w:cs="Times New Roman"/>
                <w:b/>
                <w:bCs/>
                <w:color w:val="054571"/>
                <w:sz w:val="18"/>
                <w:szCs w:val="18"/>
                <w:lang w:eastAsia="en-GB"/>
              </w:rPr>
              <w:t>Childcare Voucher Scheme</w:t>
            </w:r>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Childcare voucher salary-sacrifice schemes will close to new entrants from 6 April 2018, but can continue for existing users. The new tax-free childcare scheme does not involve employers-individual apply themselves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April 2018</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75" w:after="75" w:line="240" w:lineRule="auto"/>
              <w:outlineLvl w:val="2"/>
              <w:rPr>
                <w:rFonts w:ascii="Verdana" w:eastAsia="Times New Roman" w:hAnsi="Verdana" w:cs="Times New Roman"/>
                <w:b/>
                <w:bCs/>
                <w:color w:val="054571"/>
                <w:sz w:val="18"/>
                <w:szCs w:val="18"/>
                <w:lang w:eastAsia="en-GB"/>
              </w:rPr>
            </w:pPr>
            <w:r w:rsidRPr="000D3495">
              <w:rPr>
                <w:rFonts w:ascii="Verdana" w:eastAsia="Times New Roman" w:hAnsi="Verdana" w:cs="Times New Roman"/>
                <w:b/>
                <w:bCs/>
                <w:color w:val="054571"/>
                <w:sz w:val="18"/>
                <w:szCs w:val="18"/>
                <w:lang w:eastAsia="en-GB"/>
              </w:rPr>
              <w:t>General Data Protection Regulations</w:t>
            </w:r>
          </w:p>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The General Data Protection Regulations intend to strengthen and unify data protection for all individuals within the European Union. The primary objectives of the GDPR are to give citizens and residents back control of their personal data and to simplify the regulatory environment for international business. The UK government has confirmed that although it will be leaving the EU they will commit to the regulations.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May 2018</w:t>
            </w:r>
          </w:p>
        </w:tc>
      </w:tr>
    </w:tbl>
    <w:p w:rsidR="000D3495" w:rsidRDefault="000D3495" w:rsidP="000D3495">
      <w:pPr>
        <w:shd w:val="clear" w:color="auto" w:fill="FFFFFF"/>
        <w:spacing w:before="100" w:beforeAutospacing="1" w:after="100" w:afterAutospacing="1" w:line="240" w:lineRule="auto"/>
        <w:textAlignment w:val="top"/>
        <w:outlineLvl w:val="1"/>
        <w:rPr>
          <w:rFonts w:ascii="Arial" w:eastAsia="Times New Roman" w:hAnsi="Arial" w:cs="Arial"/>
          <w:b/>
          <w:bCs/>
          <w:color w:val="004E92"/>
          <w:sz w:val="24"/>
          <w:szCs w:val="24"/>
          <w:lang w:eastAsia="en-GB"/>
        </w:rPr>
      </w:pPr>
    </w:p>
    <w:p w:rsidR="000D3495" w:rsidRDefault="000D3495" w:rsidP="000D3495">
      <w:pPr>
        <w:shd w:val="clear" w:color="auto" w:fill="FFFFFF"/>
        <w:spacing w:before="100" w:beforeAutospacing="1" w:after="100" w:afterAutospacing="1" w:line="240" w:lineRule="auto"/>
        <w:textAlignment w:val="top"/>
        <w:outlineLvl w:val="1"/>
        <w:rPr>
          <w:rFonts w:ascii="Arial" w:eastAsia="Times New Roman" w:hAnsi="Arial" w:cs="Arial"/>
          <w:b/>
          <w:bCs/>
          <w:color w:val="004E92"/>
          <w:sz w:val="24"/>
          <w:szCs w:val="24"/>
          <w:lang w:eastAsia="en-GB"/>
        </w:rPr>
      </w:pPr>
    </w:p>
    <w:p w:rsidR="000D3495" w:rsidRDefault="000D3495" w:rsidP="000D3495">
      <w:pPr>
        <w:shd w:val="clear" w:color="auto" w:fill="FFFFFF"/>
        <w:spacing w:before="100" w:beforeAutospacing="1" w:after="100" w:afterAutospacing="1" w:line="240" w:lineRule="auto"/>
        <w:textAlignment w:val="top"/>
        <w:outlineLvl w:val="1"/>
        <w:rPr>
          <w:rFonts w:ascii="Arial" w:eastAsia="Times New Roman" w:hAnsi="Arial" w:cs="Arial"/>
          <w:b/>
          <w:bCs/>
          <w:color w:val="004E92"/>
          <w:sz w:val="24"/>
          <w:szCs w:val="24"/>
          <w:lang w:eastAsia="en-GB"/>
        </w:rPr>
      </w:pPr>
    </w:p>
    <w:p w:rsidR="000D3495" w:rsidRPr="000D3495" w:rsidRDefault="000D3495" w:rsidP="000D3495">
      <w:pPr>
        <w:shd w:val="clear" w:color="auto" w:fill="FFFFFF"/>
        <w:spacing w:before="100" w:beforeAutospacing="1" w:after="100" w:afterAutospacing="1" w:line="240" w:lineRule="auto"/>
        <w:textAlignment w:val="top"/>
        <w:outlineLvl w:val="1"/>
        <w:rPr>
          <w:rFonts w:ascii="Arial" w:eastAsia="Times New Roman" w:hAnsi="Arial" w:cs="Arial"/>
          <w:b/>
          <w:bCs/>
          <w:color w:val="004E92"/>
          <w:sz w:val="24"/>
          <w:szCs w:val="24"/>
          <w:lang w:eastAsia="en-GB"/>
        </w:rPr>
      </w:pPr>
      <w:r w:rsidRPr="000D3495">
        <w:rPr>
          <w:rFonts w:ascii="Arial" w:eastAsia="Times New Roman" w:hAnsi="Arial" w:cs="Arial"/>
          <w:b/>
          <w:bCs/>
          <w:color w:val="004E92"/>
          <w:sz w:val="24"/>
          <w:szCs w:val="24"/>
          <w:lang w:eastAsia="en-GB"/>
        </w:rPr>
        <w:lastRenderedPageBreak/>
        <w:t>Statutory payments 2018</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Statutory pay rates"/>
      </w:tblPr>
      <w:tblGrid>
        <w:gridCol w:w="6566"/>
        <w:gridCol w:w="2444"/>
      </w:tblGrid>
      <w:tr w:rsidR="000D3495" w:rsidRPr="000D3495" w:rsidTr="000D349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jc w:val="center"/>
              <w:rPr>
                <w:rFonts w:ascii="Verdana" w:eastAsia="Times New Roman" w:hAnsi="Verdana" w:cs="Times New Roman"/>
                <w:b/>
                <w:bCs/>
                <w:color w:val="000000"/>
                <w:sz w:val="24"/>
                <w:szCs w:val="24"/>
                <w:lang w:eastAsia="en-GB"/>
              </w:rPr>
            </w:pPr>
            <w:r w:rsidRPr="000D3495">
              <w:rPr>
                <w:rFonts w:ascii="Verdana" w:eastAsia="Times New Roman" w:hAnsi="Verdana" w:cs="Times New Roman"/>
                <w:b/>
                <w:bCs/>
                <w:color w:val="000000"/>
                <w:sz w:val="24"/>
                <w:szCs w:val="24"/>
                <w:lang w:eastAsia="en-GB"/>
              </w:rPr>
              <w:t>Weekly payments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before="100" w:beforeAutospacing="1" w:after="100" w:afterAutospacing="1" w:line="240" w:lineRule="auto"/>
              <w:jc w:val="center"/>
              <w:rPr>
                <w:rFonts w:ascii="Verdana" w:eastAsia="Times New Roman" w:hAnsi="Verdana" w:cs="Times New Roman"/>
                <w:b/>
                <w:bCs/>
                <w:color w:val="000000"/>
                <w:sz w:val="24"/>
                <w:szCs w:val="24"/>
                <w:lang w:eastAsia="en-GB"/>
              </w:rPr>
            </w:pPr>
            <w:r w:rsidRPr="000D3495">
              <w:rPr>
                <w:rFonts w:ascii="Verdana" w:eastAsia="Times New Roman" w:hAnsi="Verdana" w:cs="Times New Roman"/>
                <w:b/>
                <w:bCs/>
                <w:color w:val="000000"/>
                <w:sz w:val="24"/>
                <w:szCs w:val="24"/>
                <w:lang w:eastAsia="en-GB"/>
              </w:rPr>
              <w:t>From April 2018</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after="0" w:line="240" w:lineRule="auto"/>
              <w:rPr>
                <w:rFonts w:ascii="Verdana" w:eastAsia="Times New Roman" w:hAnsi="Verdana" w:cs="Times New Roman"/>
                <w:color w:val="000000"/>
                <w:sz w:val="24"/>
                <w:szCs w:val="24"/>
                <w:lang w:eastAsia="en-GB"/>
              </w:rPr>
            </w:pPr>
            <w:hyperlink r:id="rId12" w:history="1">
              <w:r w:rsidR="000D3495" w:rsidRPr="000D3495">
                <w:rPr>
                  <w:rFonts w:ascii="Verdana" w:eastAsia="Times New Roman" w:hAnsi="Verdana" w:cs="Times New Roman"/>
                  <w:b/>
                  <w:bCs/>
                  <w:color w:val="053C52"/>
                  <w:sz w:val="24"/>
                  <w:szCs w:val="24"/>
                  <w:lang w:eastAsia="en-GB"/>
                </w:rPr>
                <w:t>Maternity/Paternity/Adoption</w:t>
              </w:r>
            </w:hyperlink>
            <w:r w:rsidR="000D3495" w:rsidRPr="000D3495">
              <w:rPr>
                <w:rFonts w:ascii="Verdana" w:eastAsia="Times New Roman" w:hAnsi="Verdana" w:cs="Times New Roman"/>
                <w:b/>
                <w:bCs/>
                <w:color w:val="00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£145.18</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after="0" w:line="240" w:lineRule="auto"/>
              <w:rPr>
                <w:rFonts w:ascii="Verdana" w:eastAsia="Times New Roman" w:hAnsi="Verdana" w:cs="Times New Roman"/>
                <w:color w:val="000000"/>
                <w:sz w:val="24"/>
                <w:szCs w:val="24"/>
                <w:lang w:eastAsia="en-GB"/>
              </w:rPr>
            </w:pPr>
            <w:hyperlink r:id="rId13" w:history="1">
              <w:r w:rsidR="000D3495" w:rsidRPr="000D3495">
                <w:rPr>
                  <w:rFonts w:ascii="Verdana" w:eastAsia="Times New Roman" w:hAnsi="Verdana" w:cs="Times New Roman"/>
                  <w:b/>
                  <w:bCs/>
                  <w:color w:val="053C52"/>
                  <w:sz w:val="24"/>
                  <w:szCs w:val="24"/>
                  <w:lang w:eastAsia="en-GB"/>
                </w:rPr>
                <w:t>Sick pay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£92.05</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after="0" w:line="240" w:lineRule="auto"/>
              <w:rPr>
                <w:rFonts w:ascii="Verdana" w:eastAsia="Times New Roman" w:hAnsi="Verdana" w:cs="Times New Roman"/>
                <w:color w:val="000000"/>
                <w:sz w:val="24"/>
                <w:szCs w:val="24"/>
                <w:lang w:eastAsia="en-GB"/>
              </w:rPr>
            </w:pPr>
            <w:hyperlink r:id="rId14" w:history="1">
              <w:r w:rsidR="000D3495" w:rsidRPr="000D3495">
                <w:rPr>
                  <w:rFonts w:ascii="Verdana" w:eastAsia="Times New Roman" w:hAnsi="Verdana" w:cs="Times New Roman"/>
                  <w:b/>
                  <w:bCs/>
                  <w:color w:val="053C52"/>
                  <w:sz w:val="24"/>
                  <w:szCs w:val="24"/>
                  <w:lang w:eastAsia="en-GB"/>
                </w:rPr>
                <w:t>Lower Earnings Threshold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£116</w:t>
            </w:r>
          </w:p>
        </w:tc>
      </w:tr>
      <w:tr w:rsidR="000D3495" w:rsidRPr="000D3495" w:rsidTr="000D349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 </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jc w:val="center"/>
              <w:rPr>
                <w:rFonts w:ascii="Verdana" w:eastAsia="Times New Roman" w:hAnsi="Verdana" w:cs="Times New Roman"/>
                <w:b/>
                <w:bCs/>
                <w:color w:val="000000"/>
                <w:sz w:val="24"/>
                <w:szCs w:val="24"/>
                <w:lang w:eastAsia="en-GB"/>
              </w:rPr>
            </w:pPr>
            <w:r w:rsidRPr="000D3495">
              <w:rPr>
                <w:rFonts w:ascii="Verdana" w:eastAsia="Times New Roman" w:hAnsi="Verdana" w:cs="Times New Roman"/>
                <w:b/>
                <w:bCs/>
                <w:color w:val="000000"/>
                <w:sz w:val="24"/>
                <w:szCs w:val="24"/>
                <w:lang w:eastAsia="en-GB"/>
              </w:rPr>
              <w:t>Hourly payments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 </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after="0" w:line="240" w:lineRule="auto"/>
              <w:rPr>
                <w:rFonts w:ascii="Verdana" w:eastAsia="Times New Roman" w:hAnsi="Verdana" w:cs="Times New Roman"/>
                <w:color w:val="000000"/>
                <w:sz w:val="24"/>
                <w:szCs w:val="24"/>
                <w:lang w:eastAsia="en-GB"/>
              </w:rPr>
            </w:pPr>
            <w:hyperlink r:id="rId15" w:history="1">
              <w:r w:rsidR="000D3495" w:rsidRPr="000D3495">
                <w:rPr>
                  <w:rFonts w:ascii="Verdana" w:eastAsia="Times New Roman" w:hAnsi="Verdana" w:cs="Times New Roman"/>
                  <w:b/>
                  <w:bCs/>
                  <w:color w:val="053C52"/>
                  <w:sz w:val="24"/>
                  <w:szCs w:val="24"/>
                  <w:lang w:eastAsia="en-GB"/>
                </w:rPr>
                <w:t>National Living Wage</w:t>
              </w:r>
            </w:hyperlink>
            <w:r w:rsidR="000D3495" w:rsidRPr="000D3495">
              <w:rPr>
                <w:rFonts w:ascii="Verdana" w:eastAsia="Times New Roman" w:hAnsi="Verdana" w:cs="Times New Roman"/>
                <w:color w:val="000000"/>
                <w:sz w:val="24"/>
                <w:szCs w:val="24"/>
                <w:lang w:eastAsia="en-GB"/>
              </w:rPr>
              <w:t xml:space="preserve"> Workers aged 25 and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£7.83</w:t>
            </w:r>
          </w:p>
        </w:tc>
      </w:tr>
      <w:tr w:rsidR="000D3495" w:rsidRPr="000D3495" w:rsidTr="000D349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3495" w:rsidRPr="000D3495" w:rsidRDefault="002530EC" w:rsidP="000D3495">
            <w:pPr>
              <w:spacing w:after="0" w:line="240" w:lineRule="auto"/>
              <w:rPr>
                <w:rFonts w:ascii="Verdana" w:eastAsia="Times New Roman" w:hAnsi="Verdana" w:cs="Times New Roman"/>
                <w:color w:val="000000"/>
                <w:sz w:val="24"/>
                <w:szCs w:val="24"/>
                <w:lang w:eastAsia="en-GB"/>
              </w:rPr>
            </w:pPr>
            <w:hyperlink r:id="rId16" w:history="1">
              <w:r w:rsidR="000D3495" w:rsidRPr="000D3495">
                <w:rPr>
                  <w:rFonts w:ascii="Verdana" w:eastAsia="Times New Roman" w:hAnsi="Verdana" w:cs="Times New Roman"/>
                  <w:b/>
                  <w:bCs/>
                  <w:color w:val="053C52"/>
                  <w:sz w:val="24"/>
                  <w:szCs w:val="24"/>
                  <w:lang w:eastAsia="en-GB"/>
                </w:rPr>
                <w:t>National Minimum Wage</w:t>
              </w:r>
            </w:hyperlink>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Workers aged 21-24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£7.38</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Workers aged 18-20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£5.90</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Workers ages 16-17</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£4.20</w:t>
            </w:r>
          </w:p>
        </w:tc>
      </w:tr>
      <w:tr w:rsidR="000D3495" w:rsidRPr="000D3495" w:rsidTr="000D34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Apprentice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95" w:rsidRPr="000D3495" w:rsidRDefault="000D3495" w:rsidP="000D3495">
            <w:pPr>
              <w:spacing w:after="0" w:line="240" w:lineRule="auto"/>
              <w:rPr>
                <w:rFonts w:ascii="Verdana" w:eastAsia="Times New Roman" w:hAnsi="Verdana" w:cs="Times New Roman"/>
                <w:color w:val="000000"/>
                <w:sz w:val="24"/>
                <w:szCs w:val="24"/>
                <w:lang w:eastAsia="en-GB"/>
              </w:rPr>
            </w:pPr>
            <w:r w:rsidRPr="000D3495">
              <w:rPr>
                <w:rFonts w:ascii="Verdana" w:eastAsia="Times New Roman" w:hAnsi="Verdana" w:cs="Times New Roman"/>
                <w:color w:val="000000"/>
                <w:sz w:val="24"/>
                <w:szCs w:val="24"/>
                <w:lang w:eastAsia="en-GB"/>
              </w:rPr>
              <w:t>£3.70</w:t>
            </w:r>
          </w:p>
        </w:tc>
      </w:tr>
    </w:tbl>
    <w:p w:rsidR="00D157F6" w:rsidRDefault="00D157F6"/>
    <w:p w:rsidR="000D3495" w:rsidRPr="000D3495" w:rsidRDefault="000D3495">
      <w:pPr>
        <w:rPr>
          <w:rFonts w:ascii="Verdana" w:hAnsi="Verdana"/>
          <w:sz w:val="24"/>
          <w:szCs w:val="24"/>
        </w:rPr>
      </w:pPr>
      <w:r w:rsidRPr="000D3495">
        <w:rPr>
          <w:rFonts w:ascii="Verdana" w:hAnsi="Verdana"/>
          <w:b/>
          <w:sz w:val="24"/>
          <w:szCs w:val="24"/>
        </w:rPr>
        <w:t>GDPR 2018</w:t>
      </w:r>
      <w:r w:rsidRPr="000D3495">
        <w:rPr>
          <w:rFonts w:ascii="Verdana" w:hAnsi="Verdana"/>
          <w:sz w:val="24"/>
          <w:szCs w:val="24"/>
        </w:rPr>
        <w:t xml:space="preserve">. The General Data Protection Regulations will be introduced in May 2018 </w:t>
      </w:r>
    </w:p>
    <w:sectPr w:rsidR="000D3495" w:rsidRPr="000D3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3A71"/>
    <w:multiLevelType w:val="multilevel"/>
    <w:tmpl w:val="8E2A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95"/>
    <w:rsid w:val="000D3495"/>
    <w:rsid w:val="002530EC"/>
    <w:rsid w:val="00D1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A2FD5-DAA5-44C3-B53B-0C7E7EBA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4243">
      <w:bodyDiv w:val="1"/>
      <w:marLeft w:val="120"/>
      <w:marRight w:val="120"/>
      <w:marTop w:val="0"/>
      <w:marBottom w:val="0"/>
      <w:divBdr>
        <w:top w:val="none" w:sz="0" w:space="0" w:color="auto"/>
        <w:left w:val="none" w:sz="0" w:space="0" w:color="auto"/>
        <w:bottom w:val="none" w:sz="0" w:space="0" w:color="auto"/>
        <w:right w:val="none" w:sz="0" w:space="0" w:color="auto"/>
      </w:divBdr>
      <w:divsChild>
        <w:div w:id="1140613381">
          <w:marLeft w:val="0"/>
          <w:marRight w:val="0"/>
          <w:marTop w:val="0"/>
          <w:marBottom w:val="0"/>
          <w:divBdr>
            <w:top w:val="none" w:sz="0" w:space="0" w:color="auto"/>
            <w:left w:val="none" w:sz="0" w:space="0" w:color="auto"/>
            <w:bottom w:val="none" w:sz="0" w:space="0" w:color="auto"/>
            <w:right w:val="none" w:sz="0" w:space="0" w:color="auto"/>
          </w:divBdr>
          <w:divsChild>
            <w:div w:id="5607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3816" TargetMode="External"/><Relationship Id="rId13" Type="http://schemas.openxmlformats.org/officeDocument/2006/relationships/hyperlink" Target="http://www.acas.org.uk/index.aspx?articleid=15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bs.acas.org.uk/EventsList.aspx?SubRegionId=-1&amp;SearchTopicId=69&amp;SubRegion=--%20All%20Regions%20--&amp;SearchTopic=Equal%20pay" TargetMode="External"/><Relationship Id="rId12" Type="http://schemas.openxmlformats.org/officeDocument/2006/relationships/hyperlink" Target="http://www.acas.org.uk/index.aspx?articleid=13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as.org.uk/index.aspx?articleid=1902" TargetMode="External"/><Relationship Id="rId1" Type="http://schemas.openxmlformats.org/officeDocument/2006/relationships/numbering" Target="numbering.xml"/><Relationship Id="rId6" Type="http://schemas.openxmlformats.org/officeDocument/2006/relationships/hyperlink" Target="http://www.acas.org.uk/index.aspx?articleid=5768" TargetMode="External"/><Relationship Id="rId11" Type="http://schemas.openxmlformats.org/officeDocument/2006/relationships/hyperlink" Target="http://www.legislation.gov.uk/uksi/2017/499/made" TargetMode="External"/><Relationship Id="rId5" Type="http://schemas.openxmlformats.org/officeDocument/2006/relationships/hyperlink" Target="https://www.gov.uk/government/collections/trade-union-bill" TargetMode="External"/><Relationship Id="rId15" Type="http://schemas.openxmlformats.org/officeDocument/2006/relationships/hyperlink" Target="http://www.acas.org.uk/index.aspx?articleid=1902" TargetMode="External"/><Relationship Id="rId10" Type="http://schemas.openxmlformats.org/officeDocument/2006/relationships/hyperlink" Target="http://www.acas.org.uk/index.aspx?articleid=4126" TargetMode="External"/><Relationship Id="rId4" Type="http://schemas.openxmlformats.org/officeDocument/2006/relationships/webSettings" Target="webSettings.xml"/><Relationship Id="rId9" Type="http://schemas.openxmlformats.org/officeDocument/2006/relationships/hyperlink" Target="http://www.acas.org.uk/index.aspx?articleid=1902" TargetMode="External"/><Relationship Id="rId14" Type="http://schemas.openxmlformats.org/officeDocument/2006/relationships/hyperlink" Target="http://www.acas.org.uk/index.aspx?articleid=1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2</cp:revision>
  <dcterms:created xsi:type="dcterms:W3CDTF">2018-04-24T20:00:00Z</dcterms:created>
  <dcterms:modified xsi:type="dcterms:W3CDTF">2018-04-24T20:00:00Z</dcterms:modified>
</cp:coreProperties>
</file>